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FF55C" w14:textId="77777777" w:rsidR="005E36CB" w:rsidRPr="00665F9A" w:rsidRDefault="005E36CB" w:rsidP="005E36CB">
      <w:pPr>
        <w:rPr>
          <w:rFonts w:ascii="Arial" w:hAnsi="Arial" w:cs="Arial"/>
          <w:b/>
        </w:rPr>
      </w:pPr>
      <w:bookmarkStart w:id="0" w:name="_GoBack"/>
      <w:r w:rsidRPr="00665F9A">
        <w:rPr>
          <w:rFonts w:ascii="Arial" w:hAnsi="Arial" w:cs="Arial"/>
          <w:b/>
        </w:rPr>
        <w:t>Health &amp; Growth – Working together for a healthy Europe</w:t>
      </w:r>
    </w:p>
    <w:p w14:paraId="7E94BB69" w14:textId="77777777" w:rsidR="005E36CB" w:rsidRPr="00665F9A" w:rsidRDefault="00665F9A" w:rsidP="005E36CB">
      <w:pPr>
        <w:rPr>
          <w:rFonts w:ascii="Arial" w:hAnsi="Arial" w:cs="Arial"/>
          <w:b/>
        </w:rPr>
      </w:pPr>
      <w:r>
        <w:rPr>
          <w:rFonts w:ascii="Arial" w:hAnsi="Arial" w:cs="Arial"/>
          <w:b/>
        </w:rPr>
        <w:t xml:space="preserve">5 Key </w:t>
      </w:r>
      <w:r w:rsidR="005E36CB" w:rsidRPr="00665F9A">
        <w:rPr>
          <w:rFonts w:ascii="Arial" w:hAnsi="Arial" w:cs="Arial"/>
          <w:b/>
        </w:rPr>
        <w:t>Questions &amp; Answers</w:t>
      </w:r>
    </w:p>
    <w:bookmarkEnd w:id="0"/>
    <w:p w14:paraId="2AE6B384" w14:textId="77777777" w:rsidR="005E36CB" w:rsidRPr="00665F9A" w:rsidRDefault="005E36CB" w:rsidP="005E36CB">
      <w:pPr>
        <w:rPr>
          <w:rFonts w:ascii="Arial" w:hAnsi="Arial" w:cs="Arial"/>
          <w:sz w:val="20"/>
          <w:szCs w:val="20"/>
        </w:rPr>
      </w:pPr>
    </w:p>
    <w:p w14:paraId="6F8198E8" w14:textId="77777777" w:rsidR="00C31486" w:rsidRPr="00665F9A" w:rsidRDefault="00C31486" w:rsidP="00C31486">
      <w:pPr>
        <w:rPr>
          <w:rFonts w:ascii="Arial" w:hAnsi="Arial" w:cs="Arial"/>
          <w:b/>
          <w:sz w:val="20"/>
          <w:szCs w:val="20"/>
        </w:rPr>
      </w:pPr>
      <w:r w:rsidRPr="00665F9A">
        <w:rPr>
          <w:rFonts w:ascii="Arial" w:hAnsi="Arial" w:cs="Arial"/>
          <w:b/>
          <w:sz w:val="20"/>
          <w:szCs w:val="20"/>
        </w:rPr>
        <w:t xml:space="preserve">What is the health and growth “strategy”?  </w:t>
      </w:r>
    </w:p>
    <w:p w14:paraId="59D3E0D5" w14:textId="77777777" w:rsidR="00C31486" w:rsidRPr="00665F9A" w:rsidRDefault="00C31486" w:rsidP="00C31486">
      <w:pPr>
        <w:rPr>
          <w:rFonts w:ascii="Arial" w:hAnsi="Arial" w:cs="Arial"/>
          <w:b/>
          <w:sz w:val="20"/>
          <w:szCs w:val="20"/>
        </w:rPr>
      </w:pPr>
    </w:p>
    <w:p w14:paraId="30654297" w14:textId="77777777" w:rsidR="00C31486" w:rsidRPr="00665F9A" w:rsidRDefault="00C31486" w:rsidP="00C31486">
      <w:pPr>
        <w:rPr>
          <w:rFonts w:ascii="Arial" w:hAnsi="Arial" w:cs="Arial"/>
          <w:sz w:val="20"/>
          <w:szCs w:val="20"/>
        </w:rPr>
      </w:pPr>
      <w:proofErr w:type="gramStart"/>
      <w:r w:rsidRPr="00665F9A">
        <w:rPr>
          <w:rFonts w:ascii="Arial" w:hAnsi="Arial" w:cs="Arial"/>
          <w:sz w:val="20"/>
          <w:szCs w:val="20"/>
        </w:rPr>
        <w:t>EFPIA’s strategy “Working together for a healthy Europe” outlines a vision for a collaborative effort that will help support health and growth in Europe.</w:t>
      </w:r>
      <w:proofErr w:type="gramEnd"/>
      <w:r w:rsidRPr="00665F9A">
        <w:rPr>
          <w:rFonts w:ascii="Arial" w:hAnsi="Arial" w:cs="Arial"/>
          <w:sz w:val="20"/>
          <w:szCs w:val="20"/>
        </w:rPr>
        <w:t xml:space="preserve"> It is built on three pillars that outline its primary aims: </w:t>
      </w:r>
    </w:p>
    <w:p w14:paraId="37B87452" w14:textId="77777777" w:rsidR="00C31486" w:rsidRPr="00665F9A" w:rsidRDefault="00C31486" w:rsidP="00F90C4E">
      <w:pPr>
        <w:pStyle w:val="ListParagraph"/>
        <w:numPr>
          <w:ilvl w:val="0"/>
          <w:numId w:val="4"/>
        </w:numPr>
        <w:rPr>
          <w:rFonts w:ascii="Arial" w:hAnsi="Arial" w:cs="Arial"/>
          <w:sz w:val="20"/>
          <w:szCs w:val="20"/>
        </w:rPr>
      </w:pPr>
      <w:r w:rsidRPr="00665F9A">
        <w:rPr>
          <w:rFonts w:ascii="Arial" w:hAnsi="Arial" w:cs="Arial"/>
          <w:sz w:val="20"/>
          <w:szCs w:val="20"/>
        </w:rPr>
        <w:t>Improving health outcomes – establish a European framework to improve health outcomes in chronic disease management;</w:t>
      </w:r>
    </w:p>
    <w:p w14:paraId="3A5342FC" w14:textId="77777777" w:rsidR="00C31486" w:rsidRPr="00665F9A" w:rsidRDefault="00C31486" w:rsidP="00F90C4E">
      <w:pPr>
        <w:pStyle w:val="ListParagraph"/>
        <w:numPr>
          <w:ilvl w:val="0"/>
          <w:numId w:val="4"/>
        </w:numPr>
        <w:rPr>
          <w:rFonts w:ascii="Arial" w:hAnsi="Arial" w:cs="Arial"/>
          <w:sz w:val="20"/>
          <w:szCs w:val="20"/>
        </w:rPr>
      </w:pPr>
      <w:r w:rsidRPr="00665F9A">
        <w:rPr>
          <w:rFonts w:ascii="Arial" w:hAnsi="Arial" w:cs="Arial"/>
          <w:sz w:val="20"/>
          <w:szCs w:val="20"/>
        </w:rPr>
        <w:t>Reducing inequalities – remove the current barriers for addressing the vast inequalities in access to medicines across Europe;</w:t>
      </w:r>
    </w:p>
    <w:p w14:paraId="273D852E" w14:textId="77777777" w:rsidR="00C31486" w:rsidRPr="00665F9A" w:rsidRDefault="00C31486" w:rsidP="00F90C4E">
      <w:pPr>
        <w:pStyle w:val="ListParagraph"/>
        <w:numPr>
          <w:ilvl w:val="0"/>
          <w:numId w:val="4"/>
        </w:numPr>
        <w:rPr>
          <w:rFonts w:ascii="Arial" w:hAnsi="Arial" w:cs="Arial"/>
          <w:sz w:val="20"/>
          <w:szCs w:val="20"/>
        </w:rPr>
      </w:pPr>
      <w:r w:rsidRPr="00665F9A">
        <w:rPr>
          <w:rFonts w:ascii="Arial" w:hAnsi="Arial" w:cs="Arial"/>
          <w:sz w:val="20"/>
          <w:szCs w:val="20"/>
        </w:rPr>
        <w:t xml:space="preserve">Advancing patient </w:t>
      </w:r>
      <w:proofErr w:type="gramStart"/>
      <w:r w:rsidRPr="00665F9A">
        <w:rPr>
          <w:rFonts w:ascii="Arial" w:hAnsi="Arial" w:cs="Arial"/>
          <w:sz w:val="20"/>
          <w:szCs w:val="20"/>
        </w:rPr>
        <w:t>access – accelerate</w:t>
      </w:r>
      <w:proofErr w:type="gramEnd"/>
      <w:r w:rsidRPr="00665F9A">
        <w:rPr>
          <w:rFonts w:ascii="Arial" w:hAnsi="Arial" w:cs="Arial"/>
          <w:sz w:val="20"/>
          <w:szCs w:val="20"/>
        </w:rPr>
        <w:t xml:space="preserve"> access for new medicines and create a harmonized assessment approach whilst retaining the independence of national. </w:t>
      </w:r>
    </w:p>
    <w:p w14:paraId="7E2B020F" w14:textId="77777777" w:rsidR="00C31486" w:rsidRPr="00665F9A" w:rsidRDefault="00C31486" w:rsidP="005E36CB">
      <w:pPr>
        <w:rPr>
          <w:rFonts w:ascii="Arial" w:hAnsi="Arial" w:cs="Arial"/>
          <w:b/>
          <w:sz w:val="20"/>
          <w:szCs w:val="20"/>
        </w:rPr>
      </w:pPr>
    </w:p>
    <w:p w14:paraId="52FAFD2C" w14:textId="77777777" w:rsidR="005E36CB" w:rsidRPr="00665F9A" w:rsidRDefault="005E36CB" w:rsidP="005E36CB">
      <w:pPr>
        <w:rPr>
          <w:rFonts w:ascii="Arial" w:hAnsi="Arial" w:cs="Arial"/>
          <w:b/>
          <w:sz w:val="20"/>
          <w:szCs w:val="20"/>
        </w:rPr>
      </w:pPr>
      <w:r w:rsidRPr="00665F9A">
        <w:rPr>
          <w:rFonts w:ascii="Arial" w:hAnsi="Arial" w:cs="Arial"/>
          <w:b/>
          <w:sz w:val="20"/>
          <w:szCs w:val="20"/>
        </w:rPr>
        <w:t xml:space="preserve">Why is </w:t>
      </w:r>
      <w:r w:rsidR="007D2B0C" w:rsidRPr="00665F9A">
        <w:rPr>
          <w:rFonts w:ascii="Arial" w:hAnsi="Arial" w:cs="Arial"/>
          <w:b/>
          <w:sz w:val="20"/>
          <w:szCs w:val="20"/>
        </w:rPr>
        <w:t>the pharmaceutical industry</w:t>
      </w:r>
      <w:r w:rsidRPr="00665F9A">
        <w:rPr>
          <w:rFonts w:ascii="Arial" w:hAnsi="Arial" w:cs="Arial"/>
          <w:b/>
          <w:sz w:val="20"/>
          <w:szCs w:val="20"/>
        </w:rPr>
        <w:t xml:space="preserve"> concerning itself with European economic systems and EU growth? </w:t>
      </w:r>
    </w:p>
    <w:p w14:paraId="01CF676A" w14:textId="77777777" w:rsidR="005E36CB" w:rsidRPr="00665F9A" w:rsidRDefault="005E36CB" w:rsidP="005E36CB">
      <w:pPr>
        <w:rPr>
          <w:rFonts w:ascii="Arial" w:hAnsi="Arial" w:cs="Arial"/>
          <w:sz w:val="20"/>
          <w:szCs w:val="20"/>
        </w:rPr>
      </w:pPr>
    </w:p>
    <w:p w14:paraId="0CBF0C9A" w14:textId="77777777" w:rsidR="007400D7" w:rsidRPr="00665F9A" w:rsidRDefault="007400D7" w:rsidP="005E36CB">
      <w:pPr>
        <w:rPr>
          <w:rFonts w:ascii="Arial" w:hAnsi="Arial" w:cs="Arial"/>
          <w:sz w:val="20"/>
          <w:szCs w:val="20"/>
        </w:rPr>
      </w:pPr>
      <w:r w:rsidRPr="00665F9A">
        <w:rPr>
          <w:rFonts w:ascii="Arial" w:hAnsi="Arial" w:cs="Arial"/>
          <w:sz w:val="20"/>
          <w:szCs w:val="20"/>
        </w:rPr>
        <w:t xml:space="preserve">As the producer of new and improved medicines, the pharmaceutical industry is an integral part of any healthcare system. </w:t>
      </w:r>
      <w:r w:rsidRPr="00665F9A">
        <w:rPr>
          <w:rFonts w:ascii="Arial" w:hAnsi="Arial" w:cs="Arial"/>
          <w:sz w:val="20"/>
          <w:szCs w:val="20"/>
          <w:lang w:val="en-US"/>
        </w:rPr>
        <w:t>In recent decades, we have made huge improvements in health outcomes and life expectancy. Medicines have played a key role in this achievement, notably in areas of infectious disease, chronic conditions – even cancer.</w:t>
      </w:r>
      <w:r w:rsidR="00D072F2">
        <w:rPr>
          <w:rStyle w:val="EndnoteReference"/>
          <w:rFonts w:ascii="Arial" w:hAnsi="Arial" w:cs="Arial"/>
          <w:sz w:val="20"/>
          <w:szCs w:val="20"/>
          <w:lang w:val="en-US"/>
        </w:rPr>
        <w:endnoteReference w:id="1"/>
      </w:r>
      <w:r w:rsidRPr="00665F9A">
        <w:rPr>
          <w:rFonts w:ascii="Arial" w:hAnsi="Arial" w:cs="Arial"/>
          <w:sz w:val="20"/>
          <w:szCs w:val="20"/>
          <w:lang w:val="en-US"/>
        </w:rPr>
        <w:t xml:space="preserve"> In Europe alone, men and women can expect to live a decade longer than they would have in the 195</w:t>
      </w:r>
      <w:r w:rsidR="00D072F2">
        <w:rPr>
          <w:rFonts w:ascii="Arial" w:hAnsi="Arial" w:cs="Arial"/>
          <w:sz w:val="20"/>
          <w:szCs w:val="20"/>
          <w:lang w:val="en-US"/>
        </w:rPr>
        <w:t>0s.</w:t>
      </w:r>
      <w:r w:rsidR="00D072F2">
        <w:rPr>
          <w:rStyle w:val="EndnoteReference"/>
          <w:rFonts w:ascii="Arial" w:hAnsi="Arial" w:cs="Arial"/>
          <w:sz w:val="20"/>
          <w:szCs w:val="20"/>
          <w:lang w:val="en-US"/>
        </w:rPr>
        <w:endnoteReference w:id="2"/>
      </w:r>
    </w:p>
    <w:p w14:paraId="1853212E" w14:textId="77777777" w:rsidR="007400D7" w:rsidRPr="00665F9A" w:rsidRDefault="007400D7" w:rsidP="005E36CB">
      <w:pPr>
        <w:rPr>
          <w:rFonts w:ascii="Arial" w:hAnsi="Arial" w:cs="Arial"/>
          <w:sz w:val="20"/>
          <w:szCs w:val="20"/>
        </w:rPr>
      </w:pPr>
    </w:p>
    <w:p w14:paraId="482C92C8" w14:textId="6802479F" w:rsidR="007400D7" w:rsidRPr="00665F9A" w:rsidRDefault="00AC6610" w:rsidP="005E36CB">
      <w:pPr>
        <w:rPr>
          <w:rFonts w:ascii="Arial" w:hAnsi="Arial" w:cs="Arial"/>
          <w:sz w:val="20"/>
          <w:szCs w:val="20"/>
        </w:rPr>
      </w:pPr>
      <w:r>
        <w:rPr>
          <w:rFonts w:ascii="Arial" w:hAnsi="Arial" w:cs="Arial"/>
          <w:sz w:val="20"/>
          <w:szCs w:val="20"/>
        </w:rPr>
        <w:t>However, the pharmaceutical industry also has a valuable role to play in European economies, not just European healthcare. T</w:t>
      </w:r>
      <w:r w:rsidR="007400D7" w:rsidRPr="00665F9A">
        <w:rPr>
          <w:rFonts w:ascii="Arial" w:hAnsi="Arial" w:cs="Arial"/>
          <w:sz w:val="20"/>
          <w:szCs w:val="20"/>
        </w:rPr>
        <w:t xml:space="preserve">he research and development that drives the pharmaceutical industry </w:t>
      </w:r>
      <w:r>
        <w:rPr>
          <w:rFonts w:ascii="Arial" w:hAnsi="Arial" w:cs="Arial"/>
          <w:sz w:val="20"/>
          <w:szCs w:val="20"/>
        </w:rPr>
        <w:t>contributes to European economic success</w:t>
      </w:r>
      <w:r w:rsidR="007400D7" w:rsidRPr="00665F9A">
        <w:rPr>
          <w:rFonts w:ascii="Arial" w:hAnsi="Arial" w:cs="Arial"/>
          <w:sz w:val="20"/>
          <w:szCs w:val="20"/>
        </w:rPr>
        <w:t xml:space="preserve">. It creates skilled jobs, employing some 690,000 persons in Europe, and creates a positive trade balance in Europe of some </w:t>
      </w:r>
      <w:r w:rsidR="007400D7" w:rsidRPr="00665F9A">
        <w:rPr>
          <w:rFonts w:ascii="Arial" w:eastAsia="Times New Roman" w:hAnsi="Arial" w:cs="Arial"/>
          <w:color w:val="545454"/>
          <w:sz w:val="20"/>
          <w:szCs w:val="20"/>
          <w:shd w:val="clear" w:color="auto" w:fill="FFFFFF"/>
        </w:rPr>
        <w:t>€</w:t>
      </w:r>
      <w:r w:rsidR="007400D7" w:rsidRPr="00665F9A">
        <w:rPr>
          <w:rFonts w:ascii="Arial" w:hAnsi="Arial" w:cs="Arial"/>
          <w:sz w:val="20"/>
          <w:szCs w:val="20"/>
        </w:rPr>
        <w:t>80 billion.</w:t>
      </w:r>
      <w:r w:rsidR="00D072F2">
        <w:rPr>
          <w:rStyle w:val="EndnoteReference"/>
          <w:rFonts w:ascii="Arial" w:hAnsi="Arial" w:cs="Arial"/>
          <w:sz w:val="20"/>
          <w:szCs w:val="20"/>
        </w:rPr>
        <w:endnoteReference w:id="3"/>
      </w:r>
      <w:r w:rsidR="007400D7" w:rsidRPr="00665F9A">
        <w:rPr>
          <w:rFonts w:ascii="Arial" w:hAnsi="Arial" w:cs="Arial"/>
          <w:sz w:val="20"/>
          <w:szCs w:val="20"/>
        </w:rPr>
        <w:t xml:space="preserve"> </w:t>
      </w:r>
    </w:p>
    <w:p w14:paraId="7107CC45" w14:textId="77777777" w:rsidR="007400D7" w:rsidRDefault="007400D7" w:rsidP="005E36CB">
      <w:pPr>
        <w:rPr>
          <w:rFonts w:ascii="Arial" w:hAnsi="Arial" w:cs="Arial"/>
          <w:sz w:val="20"/>
          <w:szCs w:val="20"/>
        </w:rPr>
      </w:pPr>
    </w:p>
    <w:p w14:paraId="533471D8" w14:textId="77777777" w:rsidR="00D072F2" w:rsidRPr="00D072F2" w:rsidRDefault="00D072F2" w:rsidP="00D072F2">
      <w:pPr>
        <w:widowControl w:val="0"/>
        <w:autoSpaceDE w:val="0"/>
        <w:autoSpaceDN w:val="0"/>
        <w:adjustRightInd w:val="0"/>
        <w:rPr>
          <w:rFonts w:ascii="Arial" w:hAnsi="Arial" w:cs="Arial"/>
          <w:sz w:val="20"/>
          <w:szCs w:val="20"/>
          <w:lang w:val="en-US"/>
        </w:rPr>
      </w:pPr>
      <w:r>
        <w:rPr>
          <w:rFonts w:ascii="Arial" w:hAnsi="Arial" w:cs="Arial"/>
          <w:sz w:val="20"/>
          <w:szCs w:val="20"/>
          <w:lang w:val="en-US"/>
        </w:rPr>
        <w:t>When it comes providing an attractive environment for the R&amp;D that allows for these gains, the</w:t>
      </w:r>
      <w:r w:rsidRPr="00D072F2">
        <w:rPr>
          <w:rFonts w:ascii="Arial" w:hAnsi="Arial" w:cs="Arial"/>
          <w:sz w:val="20"/>
          <w:szCs w:val="20"/>
          <w:lang w:val="en-US"/>
        </w:rPr>
        <w:t xml:space="preserve"> EU is facing increasingly tough competition. Not surprisingly, the pharmaceutical industry is changing its footprint to access these sources of excellence</w:t>
      </w:r>
      <w:r>
        <w:rPr>
          <w:rFonts w:ascii="Arial" w:hAnsi="Arial" w:cs="Arial"/>
          <w:sz w:val="20"/>
          <w:szCs w:val="20"/>
          <w:lang w:val="en-US"/>
        </w:rPr>
        <w:t>,</w:t>
      </w:r>
      <w:r w:rsidRPr="00D072F2">
        <w:rPr>
          <w:rFonts w:ascii="Arial" w:hAnsi="Arial" w:cs="Arial"/>
          <w:sz w:val="20"/>
          <w:szCs w:val="20"/>
          <w:lang w:val="en-US"/>
        </w:rPr>
        <w:t xml:space="preserve"> which also means that European patients suffer, with Europe consistently lagging behind the US as the place where innovators want to test and launch their products first</w:t>
      </w:r>
      <w:r>
        <w:rPr>
          <w:rFonts w:ascii="Arial" w:hAnsi="Arial" w:cs="Arial"/>
          <w:sz w:val="20"/>
          <w:szCs w:val="20"/>
          <w:lang w:val="en-US"/>
        </w:rPr>
        <w:t>.</w:t>
      </w:r>
      <w:r>
        <w:rPr>
          <w:rStyle w:val="EndnoteReference"/>
          <w:rFonts w:ascii="Arial" w:hAnsi="Arial" w:cs="Arial"/>
          <w:sz w:val="20"/>
          <w:szCs w:val="20"/>
          <w:lang w:val="en-US"/>
        </w:rPr>
        <w:endnoteReference w:id="4"/>
      </w:r>
    </w:p>
    <w:p w14:paraId="1E005233" w14:textId="77777777" w:rsidR="00665F9A" w:rsidRDefault="00665F9A" w:rsidP="005E36CB">
      <w:pPr>
        <w:rPr>
          <w:rFonts w:ascii="Arial" w:hAnsi="Arial" w:cs="Arial"/>
          <w:sz w:val="20"/>
          <w:szCs w:val="20"/>
        </w:rPr>
      </w:pPr>
    </w:p>
    <w:p w14:paraId="0D5E2321" w14:textId="77777777" w:rsidR="00665F9A" w:rsidRDefault="00665F9A" w:rsidP="005E36CB">
      <w:pPr>
        <w:rPr>
          <w:rFonts w:ascii="Arial" w:hAnsi="Arial" w:cs="Arial"/>
          <w:b/>
          <w:sz w:val="20"/>
          <w:szCs w:val="20"/>
        </w:rPr>
      </w:pPr>
      <w:r>
        <w:rPr>
          <w:rFonts w:ascii="Arial" w:hAnsi="Arial" w:cs="Arial"/>
          <w:b/>
          <w:sz w:val="20"/>
          <w:szCs w:val="20"/>
        </w:rPr>
        <w:t xml:space="preserve">Why is this Strategy being presented now? </w:t>
      </w:r>
    </w:p>
    <w:p w14:paraId="6F767018" w14:textId="77777777" w:rsidR="00665F9A" w:rsidRPr="00665F9A" w:rsidRDefault="00665F9A" w:rsidP="005E36CB">
      <w:pPr>
        <w:rPr>
          <w:rFonts w:ascii="Arial" w:hAnsi="Arial" w:cs="Arial"/>
          <w:b/>
          <w:sz w:val="20"/>
          <w:szCs w:val="20"/>
        </w:rPr>
      </w:pPr>
    </w:p>
    <w:p w14:paraId="2DB73105" w14:textId="77777777" w:rsidR="007400D7" w:rsidRPr="00665F9A" w:rsidRDefault="007400D7" w:rsidP="005E36CB">
      <w:pPr>
        <w:rPr>
          <w:rFonts w:ascii="Arial" w:hAnsi="Arial" w:cs="Arial"/>
          <w:sz w:val="20"/>
          <w:szCs w:val="20"/>
        </w:rPr>
      </w:pPr>
      <w:r w:rsidRPr="00665F9A">
        <w:rPr>
          <w:rFonts w:ascii="Arial" w:hAnsi="Arial" w:cs="Arial"/>
          <w:sz w:val="20"/>
          <w:szCs w:val="20"/>
        </w:rPr>
        <w:t>As Europe emerges from the economic crisis, an integrated life sciences sector can thus help build a healthier EU for the future – in terms of citizens’ health, as well as societal wellbeing. EFPIA’s vision for Health and Growth for Europe outlines the strategy that can help achieve such an int</w:t>
      </w:r>
      <w:r w:rsidR="00665F9A">
        <w:rPr>
          <w:rFonts w:ascii="Arial" w:hAnsi="Arial" w:cs="Arial"/>
          <w:sz w:val="20"/>
          <w:szCs w:val="20"/>
        </w:rPr>
        <w:t xml:space="preserve">egrated life sciences sector.  </w:t>
      </w:r>
      <w:r w:rsidR="00D072F2">
        <w:rPr>
          <w:rFonts w:ascii="Arial" w:hAnsi="Arial" w:cs="Arial"/>
          <w:sz w:val="20"/>
          <w:szCs w:val="20"/>
        </w:rPr>
        <w:t>Soon</w:t>
      </w:r>
      <w:r w:rsidR="00665F9A">
        <w:rPr>
          <w:rFonts w:ascii="Arial" w:hAnsi="Arial" w:cs="Arial"/>
          <w:sz w:val="20"/>
          <w:szCs w:val="20"/>
        </w:rPr>
        <w:t xml:space="preserve"> new and old Euro</w:t>
      </w:r>
      <w:r w:rsidR="00D072F2">
        <w:rPr>
          <w:rFonts w:ascii="Arial" w:hAnsi="Arial" w:cs="Arial"/>
          <w:sz w:val="20"/>
          <w:szCs w:val="20"/>
        </w:rPr>
        <w:t xml:space="preserve">pean leaders will be coming together to work on ways to make a positive impact in the EU, making this the ideal moment to get the conversation started. </w:t>
      </w:r>
    </w:p>
    <w:p w14:paraId="67E060A9" w14:textId="77777777" w:rsidR="00C31486" w:rsidRPr="00665F9A" w:rsidRDefault="00C31486" w:rsidP="005E36CB">
      <w:pPr>
        <w:rPr>
          <w:rFonts w:ascii="Arial" w:hAnsi="Arial" w:cs="Arial"/>
          <w:sz w:val="20"/>
          <w:szCs w:val="20"/>
        </w:rPr>
      </w:pPr>
    </w:p>
    <w:p w14:paraId="25E9170D" w14:textId="77777777" w:rsidR="00665F9A" w:rsidRPr="00665F9A" w:rsidRDefault="00665F9A" w:rsidP="00665F9A">
      <w:pPr>
        <w:rPr>
          <w:rFonts w:ascii="Arial" w:hAnsi="Arial" w:cs="Arial"/>
          <w:b/>
          <w:sz w:val="20"/>
          <w:szCs w:val="20"/>
        </w:rPr>
      </w:pPr>
      <w:r w:rsidRPr="00665F9A">
        <w:rPr>
          <w:rFonts w:ascii="Arial" w:hAnsi="Arial" w:cs="Arial"/>
          <w:b/>
          <w:sz w:val="20"/>
          <w:szCs w:val="20"/>
        </w:rPr>
        <w:t>Who is industry collaborating with on this?</w:t>
      </w:r>
    </w:p>
    <w:p w14:paraId="7A261786" w14:textId="77777777" w:rsidR="00665F9A" w:rsidRPr="00665F9A" w:rsidRDefault="00665F9A" w:rsidP="00665F9A">
      <w:pPr>
        <w:rPr>
          <w:rFonts w:ascii="Arial" w:hAnsi="Arial" w:cs="Arial"/>
          <w:sz w:val="20"/>
          <w:szCs w:val="20"/>
        </w:rPr>
      </w:pPr>
    </w:p>
    <w:p w14:paraId="22616CAA" w14:textId="77777777" w:rsidR="00665F9A" w:rsidRPr="00665F9A" w:rsidRDefault="00665F9A" w:rsidP="00665F9A">
      <w:pPr>
        <w:rPr>
          <w:rFonts w:ascii="Arial" w:hAnsi="Arial" w:cs="Arial"/>
          <w:sz w:val="20"/>
          <w:szCs w:val="20"/>
          <w:lang w:val="en-US"/>
        </w:rPr>
      </w:pPr>
      <w:r w:rsidRPr="00665F9A">
        <w:rPr>
          <w:rFonts w:ascii="Arial" w:hAnsi="Arial" w:cs="Arial"/>
          <w:sz w:val="20"/>
          <w:szCs w:val="20"/>
        </w:rPr>
        <w:t xml:space="preserve">The Health and Growth strategy is not a “pharmaceutical industry” strategy but a call for a collaborative effort to be made with European policymakers, academia, researchers, and healthcare stakeholders. Open and frank discussion between these parties about the challenges Europe faces is one necessary step. For example, take the case of chronic diseases. </w:t>
      </w:r>
      <w:r w:rsidRPr="00665F9A">
        <w:rPr>
          <w:rFonts w:ascii="Arial" w:hAnsi="Arial" w:cs="Arial"/>
          <w:sz w:val="20"/>
          <w:szCs w:val="20"/>
          <w:lang w:val="en-US"/>
        </w:rPr>
        <w:t xml:space="preserve">Already, chronic diseases account for 75% (over </w:t>
      </w:r>
      <w:r w:rsidRPr="00665F9A">
        <w:rPr>
          <w:rStyle w:val="apple-converted-space"/>
          <w:rFonts w:ascii="Arial" w:eastAsia="Times New Roman" w:hAnsi="Arial" w:cs="Arial"/>
          <w:color w:val="545454"/>
          <w:sz w:val="20"/>
          <w:szCs w:val="20"/>
          <w:shd w:val="clear" w:color="auto" w:fill="FFFFFF"/>
        </w:rPr>
        <w:t> </w:t>
      </w:r>
      <w:r w:rsidRPr="00665F9A">
        <w:rPr>
          <w:rFonts w:ascii="Arial" w:eastAsia="Times New Roman" w:hAnsi="Arial" w:cs="Arial"/>
          <w:color w:val="545454"/>
          <w:sz w:val="20"/>
          <w:szCs w:val="20"/>
          <w:shd w:val="clear" w:color="auto" w:fill="FFFFFF"/>
        </w:rPr>
        <w:t>€</w:t>
      </w:r>
      <w:r w:rsidRPr="00665F9A">
        <w:rPr>
          <w:rFonts w:ascii="Arial" w:hAnsi="Arial" w:cs="Arial"/>
          <w:sz w:val="20"/>
          <w:szCs w:val="20"/>
          <w:lang w:val="en-US"/>
        </w:rPr>
        <w:t>700billion) of Europe’s healthcare bill and are responsible for up to a 7% GDP loss in some EU countries. In the years ahead, key risk factors for chronic diseases (age, adult obesity) are projected to increase; with them, we can expect increasing incidence and impact of chronic conditions. A recent study by the European Commission projects that, without new approaches, average healthcare spending could rise from just under 7% of G</w:t>
      </w:r>
      <w:r w:rsidR="00ED6BC1">
        <w:rPr>
          <w:rFonts w:ascii="Arial" w:hAnsi="Arial" w:cs="Arial"/>
          <w:sz w:val="20"/>
          <w:szCs w:val="20"/>
          <w:lang w:val="en-US"/>
        </w:rPr>
        <w:t>DP to almost 9% of GDP by 2060.</w:t>
      </w:r>
      <w:r w:rsidR="00ED6BC1">
        <w:rPr>
          <w:rStyle w:val="EndnoteReference"/>
          <w:rFonts w:ascii="Arial" w:hAnsi="Arial" w:cs="Arial"/>
          <w:sz w:val="20"/>
          <w:szCs w:val="20"/>
          <w:lang w:val="en-US"/>
        </w:rPr>
        <w:endnoteReference w:id="5"/>
      </w:r>
      <w:r w:rsidR="00ED6BC1">
        <w:rPr>
          <w:rFonts w:ascii="Arial" w:hAnsi="Arial" w:cs="Arial"/>
          <w:sz w:val="20"/>
          <w:szCs w:val="20"/>
          <w:lang w:val="en-US"/>
        </w:rPr>
        <w:t xml:space="preserve"> </w:t>
      </w:r>
      <w:r w:rsidRPr="00665F9A">
        <w:rPr>
          <w:rFonts w:ascii="Arial" w:hAnsi="Arial" w:cs="Arial"/>
          <w:sz w:val="20"/>
          <w:szCs w:val="20"/>
          <w:lang w:val="en-US"/>
        </w:rPr>
        <w:t xml:space="preserve">This type of healthcare challenge is one that impacts not only patients, but European </w:t>
      </w:r>
      <w:r w:rsidRPr="00665F9A">
        <w:rPr>
          <w:rFonts w:ascii="Arial" w:hAnsi="Arial" w:cs="Arial"/>
          <w:sz w:val="20"/>
          <w:szCs w:val="20"/>
          <w:lang w:val="en-US"/>
        </w:rPr>
        <w:lastRenderedPageBreak/>
        <w:t xml:space="preserve">healthcare systems and budgets, as well as the researchers who are working towards solutions. When looking at cases like these, it’s clear </w:t>
      </w:r>
    </w:p>
    <w:p w14:paraId="0E926856" w14:textId="77777777" w:rsidR="00665F9A" w:rsidRPr="00665F9A" w:rsidRDefault="00665F9A" w:rsidP="005E36CB">
      <w:pPr>
        <w:rPr>
          <w:rFonts w:ascii="Arial" w:hAnsi="Arial" w:cs="Arial"/>
          <w:b/>
          <w:sz w:val="20"/>
          <w:szCs w:val="20"/>
        </w:rPr>
      </w:pPr>
    </w:p>
    <w:p w14:paraId="21B97606" w14:textId="77777777" w:rsidR="005E36CB" w:rsidRPr="00665F9A" w:rsidRDefault="005E36CB" w:rsidP="005E36CB">
      <w:pPr>
        <w:rPr>
          <w:rFonts w:ascii="Arial" w:hAnsi="Arial" w:cs="Arial"/>
          <w:b/>
          <w:sz w:val="20"/>
          <w:szCs w:val="20"/>
        </w:rPr>
      </w:pPr>
      <w:r w:rsidRPr="00665F9A">
        <w:rPr>
          <w:rFonts w:ascii="Arial" w:hAnsi="Arial" w:cs="Arial"/>
          <w:b/>
          <w:sz w:val="20"/>
          <w:szCs w:val="20"/>
        </w:rPr>
        <w:t xml:space="preserve">What actions does EFPIA </w:t>
      </w:r>
      <w:r w:rsidR="00665F9A" w:rsidRPr="00665F9A">
        <w:rPr>
          <w:rFonts w:ascii="Arial" w:hAnsi="Arial" w:cs="Arial"/>
          <w:b/>
          <w:sz w:val="20"/>
          <w:szCs w:val="20"/>
        </w:rPr>
        <w:t>suggest</w:t>
      </w:r>
      <w:r w:rsidRPr="00665F9A">
        <w:rPr>
          <w:rFonts w:ascii="Arial" w:hAnsi="Arial" w:cs="Arial"/>
          <w:b/>
          <w:sz w:val="20"/>
          <w:szCs w:val="20"/>
        </w:rPr>
        <w:t xml:space="preserve">? </w:t>
      </w:r>
    </w:p>
    <w:p w14:paraId="62F1824B" w14:textId="77777777" w:rsidR="005E36CB" w:rsidRPr="00665F9A" w:rsidRDefault="005E36CB" w:rsidP="005E36CB">
      <w:pPr>
        <w:rPr>
          <w:rFonts w:ascii="Arial" w:hAnsi="Arial" w:cs="Arial"/>
          <w:sz w:val="20"/>
          <w:szCs w:val="20"/>
        </w:rPr>
      </w:pPr>
    </w:p>
    <w:p w14:paraId="66206756" w14:textId="77777777" w:rsidR="00F90C4E" w:rsidRPr="00665F9A" w:rsidRDefault="00F90C4E" w:rsidP="005E36CB">
      <w:pPr>
        <w:rPr>
          <w:rFonts w:ascii="Arial" w:hAnsi="Arial" w:cs="Arial"/>
          <w:sz w:val="20"/>
          <w:szCs w:val="20"/>
        </w:rPr>
      </w:pPr>
      <w:r w:rsidRPr="00665F9A">
        <w:rPr>
          <w:rFonts w:ascii="Arial" w:hAnsi="Arial" w:cs="Arial"/>
          <w:sz w:val="20"/>
          <w:szCs w:val="20"/>
        </w:rPr>
        <w:t xml:space="preserve">EFPIA has developed a number of concrete proposals to facilitate success of the Health &amp; Growth vision and </w:t>
      </w:r>
    </w:p>
    <w:p w14:paraId="04294442" w14:textId="77777777" w:rsidR="00F90C4E" w:rsidRPr="00665F9A" w:rsidRDefault="00F90C4E" w:rsidP="00F90C4E">
      <w:pPr>
        <w:pStyle w:val="ListParagraph"/>
        <w:numPr>
          <w:ilvl w:val="0"/>
          <w:numId w:val="5"/>
        </w:numPr>
        <w:rPr>
          <w:rFonts w:ascii="Arial" w:hAnsi="Arial" w:cs="Arial"/>
          <w:sz w:val="20"/>
          <w:szCs w:val="20"/>
        </w:rPr>
      </w:pPr>
      <w:r w:rsidRPr="00665F9A">
        <w:rPr>
          <w:rFonts w:ascii="Arial" w:hAnsi="Arial" w:cs="Arial"/>
          <w:sz w:val="20"/>
          <w:szCs w:val="20"/>
        </w:rPr>
        <w:t>Improving health outcomes</w:t>
      </w:r>
      <w:r w:rsidR="00665F9A" w:rsidRPr="00665F9A">
        <w:rPr>
          <w:rFonts w:ascii="Arial" w:hAnsi="Arial" w:cs="Arial"/>
          <w:sz w:val="20"/>
          <w:szCs w:val="20"/>
        </w:rPr>
        <w:t>:</w:t>
      </w:r>
    </w:p>
    <w:p w14:paraId="3E2C4EAD" w14:textId="77777777" w:rsidR="00665F9A" w:rsidRPr="00665F9A" w:rsidRDefault="00665F9A" w:rsidP="00665F9A">
      <w:pPr>
        <w:pStyle w:val="ListParagraph"/>
        <w:numPr>
          <w:ilvl w:val="1"/>
          <w:numId w:val="5"/>
        </w:numPr>
        <w:rPr>
          <w:rFonts w:ascii="Arial" w:hAnsi="Arial" w:cs="Arial"/>
          <w:sz w:val="20"/>
          <w:szCs w:val="20"/>
          <w:lang w:val="en-US"/>
        </w:rPr>
      </w:pPr>
      <w:r w:rsidRPr="00665F9A">
        <w:rPr>
          <w:rFonts w:ascii="Arial" w:hAnsi="Arial" w:cs="Arial"/>
          <w:sz w:val="20"/>
          <w:szCs w:val="20"/>
          <w:lang w:val="en-US"/>
        </w:rPr>
        <w:t xml:space="preserve">Establish European-wide standards for data capture and data registries to define standards of care based on findings from clinical development studies as well as robust and standardized real-world evidence studies; </w:t>
      </w:r>
    </w:p>
    <w:p w14:paraId="44D30D40" w14:textId="77777777" w:rsidR="00665F9A" w:rsidRPr="00665F9A" w:rsidRDefault="00665F9A" w:rsidP="00665F9A">
      <w:pPr>
        <w:pStyle w:val="ListParagraph"/>
        <w:numPr>
          <w:ilvl w:val="1"/>
          <w:numId w:val="5"/>
        </w:numPr>
        <w:rPr>
          <w:rFonts w:ascii="Arial" w:hAnsi="Arial" w:cs="Arial"/>
          <w:sz w:val="20"/>
          <w:szCs w:val="20"/>
          <w:lang w:val="en-US"/>
        </w:rPr>
      </w:pPr>
      <w:r w:rsidRPr="00665F9A">
        <w:rPr>
          <w:rFonts w:ascii="Arial" w:hAnsi="Arial" w:cs="Arial"/>
          <w:sz w:val="20"/>
          <w:szCs w:val="20"/>
          <w:lang w:val="en-US"/>
        </w:rPr>
        <w:t>Deploy structural funds to encourage the development of health delivery infrastructure in line with best practice standards, where local funding is not available;</w:t>
      </w:r>
    </w:p>
    <w:p w14:paraId="6FB0383F" w14:textId="77777777" w:rsidR="00665F9A" w:rsidRPr="00665F9A" w:rsidRDefault="00665F9A" w:rsidP="00665F9A">
      <w:pPr>
        <w:pStyle w:val="ListParagraph"/>
        <w:numPr>
          <w:ilvl w:val="1"/>
          <w:numId w:val="5"/>
        </w:numPr>
        <w:rPr>
          <w:rFonts w:ascii="Arial" w:hAnsi="Arial" w:cs="Arial"/>
          <w:sz w:val="20"/>
          <w:szCs w:val="20"/>
          <w:lang w:val="en-US"/>
        </w:rPr>
      </w:pPr>
      <w:r w:rsidRPr="00665F9A">
        <w:rPr>
          <w:rFonts w:ascii="Arial" w:hAnsi="Arial" w:cs="Arial"/>
          <w:sz w:val="20"/>
          <w:szCs w:val="20"/>
          <w:lang w:val="en-US"/>
        </w:rPr>
        <w:t>Facilitate differentiated pricing in Europe, by removing barriers. This will aid pricing by ability to pay, to improve medicines access and coverage. Focusing, in the first instance, on those Member States with lower quartile GDP relative to other Member States.</w:t>
      </w:r>
    </w:p>
    <w:p w14:paraId="566ACD95" w14:textId="77777777" w:rsidR="00F90C4E" w:rsidRPr="00665F9A" w:rsidRDefault="00665F9A" w:rsidP="00F90C4E">
      <w:pPr>
        <w:pStyle w:val="ListParagraph"/>
        <w:numPr>
          <w:ilvl w:val="0"/>
          <w:numId w:val="5"/>
        </w:numPr>
        <w:rPr>
          <w:rFonts w:ascii="Arial" w:hAnsi="Arial" w:cs="Arial"/>
          <w:sz w:val="20"/>
          <w:szCs w:val="20"/>
        </w:rPr>
      </w:pPr>
      <w:r w:rsidRPr="00665F9A">
        <w:rPr>
          <w:rFonts w:ascii="Arial" w:hAnsi="Arial" w:cs="Arial"/>
          <w:sz w:val="20"/>
          <w:szCs w:val="20"/>
        </w:rPr>
        <w:t>Reducing inequalities:</w:t>
      </w:r>
    </w:p>
    <w:p w14:paraId="5A5DC157" w14:textId="77777777" w:rsidR="00665F9A" w:rsidRPr="00665F9A" w:rsidRDefault="00665F9A" w:rsidP="00665F9A">
      <w:pPr>
        <w:pStyle w:val="ListParagraph"/>
        <w:numPr>
          <w:ilvl w:val="1"/>
          <w:numId w:val="5"/>
        </w:numPr>
        <w:rPr>
          <w:rFonts w:ascii="Arial" w:hAnsi="Arial" w:cs="Arial"/>
          <w:sz w:val="20"/>
          <w:szCs w:val="20"/>
          <w:lang w:val="en-US"/>
        </w:rPr>
      </w:pPr>
      <w:r w:rsidRPr="00665F9A">
        <w:rPr>
          <w:rFonts w:ascii="Arial" w:hAnsi="Arial" w:cs="Arial"/>
          <w:sz w:val="20"/>
          <w:szCs w:val="20"/>
          <w:lang w:val="en-US"/>
        </w:rPr>
        <w:t xml:space="preserve">Harmonize the different approaches to Health Technology Assessment in Europe, by establishing a more consistent definition and approach to the evaluation of relative effectiveness, whilst retaining the independence of national HTA authorities; </w:t>
      </w:r>
    </w:p>
    <w:p w14:paraId="59CF1C3E" w14:textId="77777777" w:rsidR="00665F9A" w:rsidRPr="00665F9A" w:rsidRDefault="00665F9A" w:rsidP="00665F9A">
      <w:pPr>
        <w:pStyle w:val="ListParagraph"/>
        <w:numPr>
          <w:ilvl w:val="1"/>
          <w:numId w:val="5"/>
        </w:numPr>
        <w:rPr>
          <w:rFonts w:ascii="Arial" w:hAnsi="Arial" w:cs="Arial"/>
          <w:sz w:val="20"/>
          <w:szCs w:val="20"/>
          <w:lang w:val="en-US"/>
        </w:rPr>
      </w:pPr>
      <w:r w:rsidRPr="00665F9A">
        <w:rPr>
          <w:rFonts w:ascii="Arial" w:hAnsi="Arial" w:cs="Arial"/>
          <w:sz w:val="20"/>
          <w:szCs w:val="20"/>
          <w:lang w:val="en-US"/>
        </w:rPr>
        <w:t>Strengthen collaboration across Member States in joint scientific advice across the medicines life-cycle (pre- and post-approval) to foster convergence in comparators, end-points and levels of evidence considered in clinical trial activities and value dossiers (involving regulators and payers);</w:t>
      </w:r>
    </w:p>
    <w:p w14:paraId="797B571A" w14:textId="77777777" w:rsidR="00665F9A" w:rsidRPr="00665F9A" w:rsidRDefault="00665F9A" w:rsidP="00665F9A">
      <w:pPr>
        <w:pStyle w:val="ListParagraph"/>
        <w:numPr>
          <w:ilvl w:val="1"/>
          <w:numId w:val="5"/>
        </w:numPr>
        <w:rPr>
          <w:rFonts w:ascii="Arial" w:hAnsi="Arial" w:cs="Arial"/>
          <w:sz w:val="20"/>
          <w:szCs w:val="20"/>
          <w:lang w:val="en-US"/>
        </w:rPr>
      </w:pPr>
      <w:r w:rsidRPr="00665F9A">
        <w:rPr>
          <w:rFonts w:ascii="Arial" w:hAnsi="Arial" w:cs="Arial"/>
          <w:sz w:val="20"/>
          <w:szCs w:val="20"/>
          <w:lang w:val="en-US"/>
        </w:rPr>
        <w:t>Adopt best practices in early access to medicines across;</w:t>
      </w:r>
    </w:p>
    <w:p w14:paraId="0BC985D2" w14:textId="77777777" w:rsidR="00665F9A" w:rsidRPr="00665F9A" w:rsidRDefault="00665F9A" w:rsidP="00665F9A">
      <w:pPr>
        <w:pStyle w:val="ListParagraph"/>
        <w:numPr>
          <w:ilvl w:val="1"/>
          <w:numId w:val="5"/>
        </w:numPr>
        <w:rPr>
          <w:rFonts w:ascii="Arial" w:hAnsi="Arial" w:cs="Arial"/>
          <w:sz w:val="20"/>
          <w:szCs w:val="20"/>
          <w:lang w:val="en-US"/>
        </w:rPr>
      </w:pPr>
      <w:r w:rsidRPr="00665F9A">
        <w:rPr>
          <w:rFonts w:ascii="Arial" w:hAnsi="Arial" w:cs="Arial"/>
          <w:sz w:val="20"/>
          <w:szCs w:val="20"/>
          <w:lang w:val="en-US"/>
        </w:rPr>
        <w:t>Establish a ‘breakthrough designation’ status within the EMA to expedite the development and review of promising new drugs for serious conditions;</w:t>
      </w:r>
    </w:p>
    <w:p w14:paraId="4D1F890D" w14:textId="77777777" w:rsidR="00665F9A" w:rsidRPr="00665F9A" w:rsidRDefault="00665F9A" w:rsidP="00665F9A">
      <w:pPr>
        <w:pStyle w:val="ListParagraph"/>
        <w:numPr>
          <w:ilvl w:val="1"/>
          <w:numId w:val="5"/>
        </w:numPr>
        <w:rPr>
          <w:rFonts w:ascii="Arial" w:hAnsi="Arial" w:cs="Arial"/>
          <w:sz w:val="20"/>
          <w:szCs w:val="20"/>
          <w:lang w:val="en-US"/>
        </w:rPr>
      </w:pPr>
      <w:r w:rsidRPr="00665F9A">
        <w:rPr>
          <w:rFonts w:ascii="Arial" w:hAnsi="Arial" w:cs="Arial"/>
          <w:sz w:val="20"/>
          <w:szCs w:val="20"/>
          <w:lang w:val="en-US"/>
        </w:rPr>
        <w:t>Develop country-specific frameworks, which provide predictability of funding and encourage appropriate usage of medicines as well as innovative pricing and reimbursement schemes.</w:t>
      </w:r>
    </w:p>
    <w:p w14:paraId="4DD9A7AA" w14:textId="77777777" w:rsidR="00F90C4E" w:rsidRPr="00665F9A" w:rsidRDefault="00F90C4E" w:rsidP="00F90C4E">
      <w:pPr>
        <w:pStyle w:val="ListParagraph"/>
        <w:numPr>
          <w:ilvl w:val="0"/>
          <w:numId w:val="5"/>
        </w:numPr>
        <w:rPr>
          <w:rFonts w:ascii="Arial" w:hAnsi="Arial" w:cs="Arial"/>
          <w:sz w:val="20"/>
          <w:szCs w:val="20"/>
        </w:rPr>
      </w:pPr>
      <w:r w:rsidRPr="00665F9A">
        <w:rPr>
          <w:rFonts w:ascii="Arial" w:hAnsi="Arial" w:cs="Arial"/>
          <w:sz w:val="20"/>
          <w:szCs w:val="20"/>
        </w:rPr>
        <w:t>Advancing patient</w:t>
      </w:r>
      <w:r w:rsidR="00665F9A" w:rsidRPr="00665F9A">
        <w:rPr>
          <w:rFonts w:ascii="Arial" w:hAnsi="Arial" w:cs="Arial"/>
          <w:sz w:val="20"/>
          <w:szCs w:val="20"/>
        </w:rPr>
        <w:t xml:space="preserve"> access:</w:t>
      </w:r>
    </w:p>
    <w:p w14:paraId="32020CD6" w14:textId="77777777" w:rsidR="00665F9A" w:rsidRPr="00665F9A" w:rsidRDefault="00665F9A" w:rsidP="00665F9A">
      <w:pPr>
        <w:pStyle w:val="ListParagraph"/>
        <w:numPr>
          <w:ilvl w:val="1"/>
          <w:numId w:val="5"/>
        </w:numPr>
        <w:rPr>
          <w:rFonts w:ascii="Arial" w:hAnsi="Arial" w:cs="Arial"/>
          <w:sz w:val="20"/>
          <w:szCs w:val="20"/>
          <w:lang w:val="en-US"/>
        </w:rPr>
      </w:pPr>
      <w:r w:rsidRPr="00665F9A">
        <w:rPr>
          <w:rFonts w:ascii="Arial" w:hAnsi="Arial" w:cs="Arial"/>
          <w:sz w:val="20"/>
          <w:szCs w:val="20"/>
          <w:lang w:val="en-US"/>
        </w:rPr>
        <w:t>Establish a network of European Institutes of Health Research Excellence to drive priority setting and coordinate research activities and EC funding with the aspiration of encouraging excellence in medical and bioscience research;</w:t>
      </w:r>
    </w:p>
    <w:p w14:paraId="13B32CAF" w14:textId="77777777" w:rsidR="00665F9A" w:rsidRPr="00665F9A" w:rsidRDefault="00665F9A" w:rsidP="00665F9A">
      <w:pPr>
        <w:pStyle w:val="ListParagraph"/>
        <w:numPr>
          <w:ilvl w:val="1"/>
          <w:numId w:val="5"/>
        </w:numPr>
        <w:rPr>
          <w:rFonts w:ascii="Arial" w:hAnsi="Arial" w:cs="Arial"/>
          <w:sz w:val="20"/>
          <w:szCs w:val="20"/>
          <w:lang w:val="en-US"/>
        </w:rPr>
      </w:pPr>
      <w:r w:rsidRPr="00665F9A">
        <w:rPr>
          <w:rFonts w:ascii="Arial" w:hAnsi="Arial" w:cs="Arial"/>
          <w:sz w:val="20"/>
          <w:szCs w:val="20"/>
          <w:lang w:val="en-US"/>
        </w:rPr>
        <w:t>Build on IMI and IMI2 programs to foster public-private partnerships on open innovation in the life science field;</w:t>
      </w:r>
    </w:p>
    <w:p w14:paraId="5BC5FF3A" w14:textId="77777777" w:rsidR="009A4248" w:rsidRPr="00ED6BC1" w:rsidRDefault="00665F9A" w:rsidP="00ED6BC1">
      <w:pPr>
        <w:pStyle w:val="ListParagraph"/>
        <w:numPr>
          <w:ilvl w:val="1"/>
          <w:numId w:val="5"/>
        </w:numPr>
        <w:rPr>
          <w:rFonts w:ascii="Arial" w:hAnsi="Arial" w:cs="Arial"/>
          <w:sz w:val="20"/>
          <w:szCs w:val="20"/>
          <w:lang w:val="en-US"/>
        </w:rPr>
      </w:pPr>
      <w:r w:rsidRPr="00665F9A">
        <w:rPr>
          <w:rFonts w:ascii="Arial" w:hAnsi="Arial" w:cs="Arial"/>
          <w:sz w:val="20"/>
          <w:szCs w:val="20"/>
          <w:lang w:val="en-US"/>
        </w:rPr>
        <w:t>Establish new incentives and intellectual property frameworks to encourage the development of medicines for key unmet needs or medicines that deliver ‘break-through’ clinical advantages aligned with European health priorities.</w:t>
      </w:r>
    </w:p>
    <w:p w14:paraId="55DD431D" w14:textId="77777777" w:rsidR="00665F9A" w:rsidRDefault="00665F9A">
      <w:pPr>
        <w:rPr>
          <w:lang w:val="en-US"/>
        </w:rPr>
      </w:pPr>
    </w:p>
    <w:sectPr w:rsidR="00665F9A" w:rsidSect="009A4248">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73FB6" w14:textId="77777777" w:rsidR="00D072F2" w:rsidRDefault="00D072F2" w:rsidP="00D072F2">
      <w:r>
        <w:separator/>
      </w:r>
    </w:p>
  </w:endnote>
  <w:endnote w:type="continuationSeparator" w:id="0">
    <w:p w14:paraId="289444BF" w14:textId="77777777" w:rsidR="00D072F2" w:rsidRDefault="00D072F2" w:rsidP="00D072F2">
      <w:r>
        <w:continuationSeparator/>
      </w:r>
    </w:p>
  </w:endnote>
  <w:endnote w:id="1">
    <w:p w14:paraId="6AEDD5D0" w14:textId="77777777" w:rsidR="00D072F2" w:rsidRPr="001353FC" w:rsidRDefault="00D072F2" w:rsidP="00ED6BC1">
      <w:pPr>
        <w:pStyle w:val="EndnoteText"/>
        <w:rPr>
          <w:rFonts w:ascii="Arial" w:hAnsi="Arial" w:cs="Arial"/>
          <w:sz w:val="20"/>
          <w:szCs w:val="20"/>
          <w:lang w:val="en-US"/>
        </w:rPr>
      </w:pPr>
      <w:r w:rsidRPr="001353FC">
        <w:rPr>
          <w:rStyle w:val="EndnoteReference"/>
          <w:rFonts w:ascii="Arial" w:hAnsi="Arial" w:cs="Arial"/>
          <w:sz w:val="20"/>
          <w:szCs w:val="20"/>
        </w:rPr>
        <w:endnoteRef/>
      </w:r>
      <w:r w:rsidRPr="001353FC">
        <w:rPr>
          <w:rFonts w:ascii="Arial" w:hAnsi="Arial" w:cs="Arial"/>
          <w:sz w:val="20"/>
          <w:szCs w:val="20"/>
        </w:rPr>
        <w:t xml:space="preserve"> </w:t>
      </w:r>
      <w:r w:rsidRPr="001353FC">
        <w:rPr>
          <w:rFonts w:ascii="Arial" w:hAnsi="Arial" w:cs="Arial"/>
          <w:sz w:val="20"/>
          <w:szCs w:val="20"/>
          <w:lang w:val="en-US"/>
        </w:rPr>
        <w:t xml:space="preserve">Lichtenberg, F. (2012): Pharmaceutical Innovation and Longevity Growth in 30 Developing and High-  income Countries, 2000-2009 NBER Working Papers 18235, National Bureau of Economic Research, Inc. (2012); Smith, B (2011): The Future of </w:t>
      </w:r>
      <w:proofErr w:type="spellStart"/>
      <w:r w:rsidRPr="001353FC">
        <w:rPr>
          <w:rFonts w:ascii="Arial" w:hAnsi="Arial" w:cs="Arial"/>
          <w:sz w:val="20"/>
          <w:szCs w:val="20"/>
          <w:lang w:val="en-US"/>
        </w:rPr>
        <w:t>Pharma</w:t>
      </w:r>
      <w:proofErr w:type="spellEnd"/>
      <w:r w:rsidRPr="001353FC">
        <w:rPr>
          <w:rFonts w:ascii="Arial" w:hAnsi="Arial" w:cs="Arial"/>
          <w:sz w:val="20"/>
          <w:szCs w:val="20"/>
          <w:lang w:val="en-US"/>
        </w:rPr>
        <w:t>, Gower Publishing Limited (2011)</w:t>
      </w:r>
    </w:p>
  </w:endnote>
  <w:endnote w:id="2">
    <w:p w14:paraId="41306F51" w14:textId="77777777" w:rsidR="00D072F2" w:rsidRPr="001353FC" w:rsidRDefault="00D072F2" w:rsidP="00ED6BC1">
      <w:pPr>
        <w:pStyle w:val="EndnoteText"/>
        <w:rPr>
          <w:rFonts w:ascii="Arial" w:hAnsi="Arial" w:cs="Arial"/>
          <w:sz w:val="20"/>
          <w:szCs w:val="20"/>
          <w:lang w:val="en-US"/>
        </w:rPr>
      </w:pPr>
      <w:r w:rsidRPr="001353FC">
        <w:rPr>
          <w:rStyle w:val="EndnoteReference"/>
          <w:rFonts w:ascii="Arial" w:hAnsi="Arial" w:cs="Arial"/>
          <w:sz w:val="20"/>
          <w:szCs w:val="20"/>
        </w:rPr>
        <w:endnoteRef/>
      </w:r>
      <w:r w:rsidRPr="001353FC">
        <w:rPr>
          <w:rFonts w:ascii="Arial" w:hAnsi="Arial" w:cs="Arial"/>
          <w:sz w:val="20"/>
          <w:szCs w:val="20"/>
        </w:rPr>
        <w:t xml:space="preserve"> </w:t>
      </w:r>
      <w:r w:rsidRPr="001353FC">
        <w:rPr>
          <w:rFonts w:ascii="Arial" w:hAnsi="Arial" w:cs="Arial"/>
          <w:sz w:val="20"/>
          <w:szCs w:val="20"/>
          <w:lang w:val="en-US"/>
        </w:rPr>
        <w:t>United Nations, Department of Economic and Social Affairs (2011): World Population Prospects – The 2010 Revision; released on 3 May 2011 http://esa.un.org/wpp/index.htm</w:t>
      </w:r>
    </w:p>
  </w:endnote>
  <w:endnote w:id="3">
    <w:p w14:paraId="7A2B5FD9" w14:textId="77777777" w:rsidR="00D072F2" w:rsidRPr="001353FC" w:rsidRDefault="00D072F2" w:rsidP="00ED6BC1">
      <w:pPr>
        <w:pStyle w:val="EndnoteText"/>
        <w:rPr>
          <w:rFonts w:ascii="Arial" w:hAnsi="Arial" w:cs="Arial"/>
          <w:sz w:val="20"/>
          <w:szCs w:val="20"/>
          <w:lang w:val="en-US"/>
        </w:rPr>
      </w:pPr>
      <w:r w:rsidRPr="001353FC">
        <w:rPr>
          <w:rStyle w:val="EndnoteReference"/>
          <w:rFonts w:ascii="Arial" w:hAnsi="Arial" w:cs="Arial"/>
          <w:sz w:val="20"/>
          <w:szCs w:val="20"/>
        </w:rPr>
        <w:endnoteRef/>
      </w:r>
      <w:r w:rsidRPr="001353FC">
        <w:rPr>
          <w:rFonts w:ascii="Arial" w:hAnsi="Arial" w:cs="Arial"/>
          <w:sz w:val="20"/>
          <w:szCs w:val="20"/>
        </w:rPr>
        <w:t xml:space="preserve"> </w:t>
      </w:r>
      <w:r w:rsidRPr="001353FC">
        <w:rPr>
          <w:rFonts w:ascii="Arial" w:hAnsi="Arial" w:cs="Arial"/>
          <w:sz w:val="20"/>
          <w:szCs w:val="20"/>
          <w:lang w:val="en-US"/>
        </w:rPr>
        <w:t xml:space="preserve">EFPIA (2014): The pharmaceutical Industry in Figures: Key Data (2014) </w:t>
      </w:r>
    </w:p>
  </w:endnote>
  <w:endnote w:id="4">
    <w:p w14:paraId="6D08F779" w14:textId="77777777" w:rsidR="00D072F2" w:rsidRPr="001353FC" w:rsidRDefault="00D072F2" w:rsidP="00ED6BC1">
      <w:pPr>
        <w:pStyle w:val="EndnoteText"/>
        <w:rPr>
          <w:rFonts w:ascii="Arial" w:hAnsi="Arial" w:cs="Arial"/>
          <w:sz w:val="20"/>
          <w:szCs w:val="20"/>
          <w:lang w:val="en-US"/>
        </w:rPr>
      </w:pPr>
      <w:r w:rsidRPr="001353FC">
        <w:rPr>
          <w:rStyle w:val="EndnoteReference"/>
          <w:rFonts w:ascii="Arial" w:hAnsi="Arial" w:cs="Arial"/>
          <w:sz w:val="20"/>
          <w:szCs w:val="20"/>
        </w:rPr>
        <w:endnoteRef/>
      </w:r>
      <w:r w:rsidRPr="001353FC">
        <w:rPr>
          <w:rFonts w:ascii="Arial" w:hAnsi="Arial" w:cs="Arial"/>
          <w:sz w:val="20"/>
          <w:szCs w:val="20"/>
        </w:rPr>
        <w:t xml:space="preserve"> </w:t>
      </w:r>
      <w:r w:rsidRPr="001353FC">
        <w:rPr>
          <w:rFonts w:ascii="Arial" w:hAnsi="Arial" w:cs="Arial"/>
          <w:sz w:val="20"/>
          <w:szCs w:val="20"/>
          <w:lang w:val="en-US"/>
        </w:rPr>
        <w:t>PAREXEL Biopharmaceutical R&amp;D Statistical Sourcebook 2012/2013 (</w:t>
      </w:r>
      <w:proofErr w:type="spellStart"/>
      <w:r w:rsidRPr="001353FC">
        <w:rPr>
          <w:rFonts w:ascii="Arial" w:hAnsi="Arial" w:cs="Arial"/>
          <w:sz w:val="20"/>
          <w:szCs w:val="20"/>
          <w:lang w:val="en-US"/>
        </w:rPr>
        <w:t>eStats</w:t>
      </w:r>
      <w:proofErr w:type="spellEnd"/>
      <w:r w:rsidRPr="001353FC">
        <w:rPr>
          <w:rFonts w:ascii="Arial" w:hAnsi="Arial" w:cs="Arial"/>
          <w:sz w:val="20"/>
          <w:szCs w:val="20"/>
          <w:lang w:val="en-US"/>
        </w:rPr>
        <w:t xml:space="preserve">); Hard copy </w:t>
      </w:r>
    </w:p>
  </w:endnote>
  <w:endnote w:id="5">
    <w:p w14:paraId="0C0ACFAD" w14:textId="77777777" w:rsidR="00ED6BC1" w:rsidRPr="001353FC" w:rsidRDefault="00ED6BC1" w:rsidP="00ED6BC1">
      <w:pPr>
        <w:pStyle w:val="EndnoteText"/>
        <w:rPr>
          <w:rFonts w:ascii="Arial" w:hAnsi="Arial" w:cs="Arial"/>
          <w:sz w:val="20"/>
          <w:szCs w:val="20"/>
          <w:lang w:val="en-US"/>
        </w:rPr>
      </w:pPr>
      <w:r w:rsidRPr="001353FC">
        <w:rPr>
          <w:rStyle w:val="EndnoteReference"/>
          <w:rFonts w:ascii="Arial" w:hAnsi="Arial" w:cs="Arial"/>
          <w:sz w:val="20"/>
          <w:szCs w:val="20"/>
        </w:rPr>
        <w:endnoteRef/>
      </w:r>
      <w:r w:rsidRPr="001353FC">
        <w:rPr>
          <w:rFonts w:ascii="Arial" w:hAnsi="Arial" w:cs="Arial"/>
          <w:sz w:val="20"/>
          <w:szCs w:val="20"/>
        </w:rPr>
        <w:t xml:space="preserve"> </w:t>
      </w:r>
      <w:r w:rsidRPr="001353FC">
        <w:rPr>
          <w:rFonts w:ascii="Arial" w:hAnsi="Arial" w:cs="Arial"/>
          <w:sz w:val="20"/>
          <w:szCs w:val="20"/>
          <w:lang w:val="en-US"/>
        </w:rPr>
        <w:t xml:space="preserve">European Commission (2010): Projecting future healthcare expenditure at European level Economic Papers 417 / July 2010 </w:t>
      </w:r>
    </w:p>
    <w:p w14:paraId="15CDD6EC" w14:textId="77777777" w:rsidR="00ED6BC1" w:rsidRPr="00ED6BC1" w:rsidRDefault="00ED6BC1">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0ACE0" w14:textId="77777777" w:rsidR="00D072F2" w:rsidRDefault="00D072F2" w:rsidP="00D072F2">
      <w:r>
        <w:separator/>
      </w:r>
    </w:p>
  </w:footnote>
  <w:footnote w:type="continuationSeparator" w:id="0">
    <w:p w14:paraId="14CD9E59" w14:textId="77777777" w:rsidR="00D072F2" w:rsidRDefault="00D072F2" w:rsidP="00D072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8FF99" w14:textId="1746B081" w:rsidR="003E3391" w:rsidRDefault="003E3391">
    <w:pPr>
      <w:pStyle w:val="Header"/>
    </w:pPr>
    <w:r w:rsidRPr="007C2186">
      <w:rPr>
        <w:noProof/>
        <w:lang w:val="en-US"/>
      </w:rPr>
      <w:drawing>
        <wp:inline distT="0" distB="0" distL="0" distR="0" wp14:anchorId="0DEE02C2" wp14:editId="7EEC814C">
          <wp:extent cx="2390775" cy="743619"/>
          <wp:effectExtent l="19050" t="0" r="9525" b="0"/>
          <wp:docPr id="3" name="Picture 2" descr="http://upload.wikimedia.org/wikipedia/en/d/d0/EFPIA_Logo_LR_0704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en/d/d0/EFPIA_Logo_LR_070416.png"/>
                  <pic:cNvPicPr>
                    <a:picLocks noChangeAspect="1" noChangeArrowheads="1"/>
                  </pic:cNvPicPr>
                </pic:nvPicPr>
                <pic:blipFill>
                  <a:blip r:embed="rId1" cstate="print"/>
                  <a:srcRect/>
                  <a:stretch>
                    <a:fillRect/>
                  </a:stretch>
                </pic:blipFill>
                <pic:spPr bwMode="auto">
                  <a:xfrm>
                    <a:off x="0" y="0"/>
                    <a:ext cx="2390775" cy="74361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5863E0F"/>
    <w:multiLevelType w:val="hybridMultilevel"/>
    <w:tmpl w:val="2DA0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5765B"/>
    <w:multiLevelType w:val="hybridMultilevel"/>
    <w:tmpl w:val="90D84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712126"/>
    <w:multiLevelType w:val="hybridMultilevel"/>
    <w:tmpl w:val="BAF279C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61623DF5"/>
    <w:multiLevelType w:val="hybridMultilevel"/>
    <w:tmpl w:val="90D84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79079E"/>
    <w:multiLevelType w:val="hybridMultilevel"/>
    <w:tmpl w:val="DBB8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7E"/>
    <w:rsid w:val="00047C9E"/>
    <w:rsid w:val="001353FC"/>
    <w:rsid w:val="003E3391"/>
    <w:rsid w:val="005E36CB"/>
    <w:rsid w:val="00665F9A"/>
    <w:rsid w:val="006A7BD0"/>
    <w:rsid w:val="007400D7"/>
    <w:rsid w:val="007D2B0C"/>
    <w:rsid w:val="009A4248"/>
    <w:rsid w:val="00AC6610"/>
    <w:rsid w:val="00C31486"/>
    <w:rsid w:val="00D072F2"/>
    <w:rsid w:val="00D46C7E"/>
    <w:rsid w:val="00E426AE"/>
    <w:rsid w:val="00ED6BC1"/>
    <w:rsid w:val="00F90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033D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C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C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7C9E"/>
    <w:rPr>
      <w:rFonts w:ascii="Lucida Grande" w:hAnsi="Lucida Grande" w:cs="Lucida Grande"/>
      <w:sz w:val="18"/>
      <w:szCs w:val="18"/>
    </w:rPr>
  </w:style>
  <w:style w:type="paragraph" w:styleId="ListParagraph">
    <w:name w:val="List Paragraph"/>
    <w:basedOn w:val="Normal"/>
    <w:uiPriority w:val="34"/>
    <w:qFormat/>
    <w:rsid w:val="007400D7"/>
    <w:pPr>
      <w:ind w:left="720"/>
      <w:contextualSpacing/>
    </w:pPr>
  </w:style>
  <w:style w:type="character" w:customStyle="1" w:styleId="apple-converted-space">
    <w:name w:val="apple-converted-space"/>
    <w:basedOn w:val="DefaultParagraphFont"/>
    <w:rsid w:val="00C31486"/>
  </w:style>
  <w:style w:type="paragraph" w:styleId="EndnoteText">
    <w:name w:val="endnote text"/>
    <w:basedOn w:val="Normal"/>
    <w:link w:val="EndnoteTextChar"/>
    <w:uiPriority w:val="99"/>
    <w:unhideWhenUsed/>
    <w:rsid w:val="00D072F2"/>
  </w:style>
  <w:style w:type="character" w:customStyle="1" w:styleId="EndnoteTextChar">
    <w:name w:val="Endnote Text Char"/>
    <w:basedOn w:val="DefaultParagraphFont"/>
    <w:link w:val="EndnoteText"/>
    <w:uiPriority w:val="99"/>
    <w:rsid w:val="00D072F2"/>
    <w:rPr>
      <w:lang w:val="en-GB"/>
    </w:rPr>
  </w:style>
  <w:style w:type="character" w:styleId="EndnoteReference">
    <w:name w:val="endnote reference"/>
    <w:basedOn w:val="DefaultParagraphFont"/>
    <w:uiPriority w:val="99"/>
    <w:unhideWhenUsed/>
    <w:rsid w:val="00D072F2"/>
    <w:rPr>
      <w:vertAlign w:val="superscript"/>
    </w:rPr>
  </w:style>
  <w:style w:type="character" w:styleId="CommentReference">
    <w:name w:val="annotation reference"/>
    <w:basedOn w:val="DefaultParagraphFont"/>
    <w:uiPriority w:val="99"/>
    <w:semiHidden/>
    <w:unhideWhenUsed/>
    <w:rsid w:val="00D072F2"/>
    <w:rPr>
      <w:sz w:val="18"/>
      <w:szCs w:val="18"/>
    </w:rPr>
  </w:style>
  <w:style w:type="paragraph" w:styleId="CommentText">
    <w:name w:val="annotation text"/>
    <w:basedOn w:val="Normal"/>
    <w:link w:val="CommentTextChar"/>
    <w:uiPriority w:val="99"/>
    <w:semiHidden/>
    <w:unhideWhenUsed/>
    <w:rsid w:val="00D072F2"/>
  </w:style>
  <w:style w:type="character" w:customStyle="1" w:styleId="CommentTextChar">
    <w:name w:val="Comment Text Char"/>
    <w:basedOn w:val="DefaultParagraphFont"/>
    <w:link w:val="CommentText"/>
    <w:uiPriority w:val="99"/>
    <w:semiHidden/>
    <w:rsid w:val="00D072F2"/>
    <w:rPr>
      <w:lang w:val="en-GB"/>
    </w:rPr>
  </w:style>
  <w:style w:type="paragraph" w:styleId="Header">
    <w:name w:val="header"/>
    <w:basedOn w:val="Normal"/>
    <w:link w:val="HeaderChar"/>
    <w:uiPriority w:val="99"/>
    <w:unhideWhenUsed/>
    <w:rsid w:val="003E3391"/>
    <w:pPr>
      <w:tabs>
        <w:tab w:val="center" w:pos="4320"/>
        <w:tab w:val="right" w:pos="8640"/>
      </w:tabs>
    </w:pPr>
  </w:style>
  <w:style w:type="character" w:customStyle="1" w:styleId="HeaderChar">
    <w:name w:val="Header Char"/>
    <w:basedOn w:val="DefaultParagraphFont"/>
    <w:link w:val="Header"/>
    <w:uiPriority w:val="99"/>
    <w:rsid w:val="003E3391"/>
    <w:rPr>
      <w:lang w:val="en-GB"/>
    </w:rPr>
  </w:style>
  <w:style w:type="paragraph" w:styleId="Footer">
    <w:name w:val="footer"/>
    <w:basedOn w:val="Normal"/>
    <w:link w:val="FooterChar"/>
    <w:uiPriority w:val="99"/>
    <w:unhideWhenUsed/>
    <w:rsid w:val="003E3391"/>
    <w:pPr>
      <w:tabs>
        <w:tab w:val="center" w:pos="4320"/>
        <w:tab w:val="right" w:pos="8640"/>
      </w:tabs>
    </w:pPr>
  </w:style>
  <w:style w:type="character" w:customStyle="1" w:styleId="FooterChar">
    <w:name w:val="Footer Char"/>
    <w:basedOn w:val="DefaultParagraphFont"/>
    <w:link w:val="Footer"/>
    <w:uiPriority w:val="99"/>
    <w:rsid w:val="003E3391"/>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C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C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7C9E"/>
    <w:rPr>
      <w:rFonts w:ascii="Lucida Grande" w:hAnsi="Lucida Grande" w:cs="Lucida Grande"/>
      <w:sz w:val="18"/>
      <w:szCs w:val="18"/>
    </w:rPr>
  </w:style>
  <w:style w:type="paragraph" w:styleId="ListParagraph">
    <w:name w:val="List Paragraph"/>
    <w:basedOn w:val="Normal"/>
    <w:uiPriority w:val="34"/>
    <w:qFormat/>
    <w:rsid w:val="007400D7"/>
    <w:pPr>
      <w:ind w:left="720"/>
      <w:contextualSpacing/>
    </w:pPr>
  </w:style>
  <w:style w:type="character" w:customStyle="1" w:styleId="apple-converted-space">
    <w:name w:val="apple-converted-space"/>
    <w:basedOn w:val="DefaultParagraphFont"/>
    <w:rsid w:val="00C31486"/>
  </w:style>
  <w:style w:type="paragraph" w:styleId="EndnoteText">
    <w:name w:val="endnote text"/>
    <w:basedOn w:val="Normal"/>
    <w:link w:val="EndnoteTextChar"/>
    <w:uiPriority w:val="99"/>
    <w:unhideWhenUsed/>
    <w:rsid w:val="00D072F2"/>
  </w:style>
  <w:style w:type="character" w:customStyle="1" w:styleId="EndnoteTextChar">
    <w:name w:val="Endnote Text Char"/>
    <w:basedOn w:val="DefaultParagraphFont"/>
    <w:link w:val="EndnoteText"/>
    <w:uiPriority w:val="99"/>
    <w:rsid w:val="00D072F2"/>
    <w:rPr>
      <w:lang w:val="en-GB"/>
    </w:rPr>
  </w:style>
  <w:style w:type="character" w:styleId="EndnoteReference">
    <w:name w:val="endnote reference"/>
    <w:basedOn w:val="DefaultParagraphFont"/>
    <w:uiPriority w:val="99"/>
    <w:unhideWhenUsed/>
    <w:rsid w:val="00D072F2"/>
    <w:rPr>
      <w:vertAlign w:val="superscript"/>
    </w:rPr>
  </w:style>
  <w:style w:type="character" w:styleId="CommentReference">
    <w:name w:val="annotation reference"/>
    <w:basedOn w:val="DefaultParagraphFont"/>
    <w:uiPriority w:val="99"/>
    <w:semiHidden/>
    <w:unhideWhenUsed/>
    <w:rsid w:val="00D072F2"/>
    <w:rPr>
      <w:sz w:val="18"/>
      <w:szCs w:val="18"/>
    </w:rPr>
  </w:style>
  <w:style w:type="paragraph" w:styleId="CommentText">
    <w:name w:val="annotation text"/>
    <w:basedOn w:val="Normal"/>
    <w:link w:val="CommentTextChar"/>
    <w:uiPriority w:val="99"/>
    <w:semiHidden/>
    <w:unhideWhenUsed/>
    <w:rsid w:val="00D072F2"/>
  </w:style>
  <w:style w:type="character" w:customStyle="1" w:styleId="CommentTextChar">
    <w:name w:val="Comment Text Char"/>
    <w:basedOn w:val="DefaultParagraphFont"/>
    <w:link w:val="CommentText"/>
    <w:uiPriority w:val="99"/>
    <w:semiHidden/>
    <w:rsid w:val="00D072F2"/>
    <w:rPr>
      <w:lang w:val="en-GB"/>
    </w:rPr>
  </w:style>
  <w:style w:type="paragraph" w:styleId="Header">
    <w:name w:val="header"/>
    <w:basedOn w:val="Normal"/>
    <w:link w:val="HeaderChar"/>
    <w:uiPriority w:val="99"/>
    <w:unhideWhenUsed/>
    <w:rsid w:val="003E3391"/>
    <w:pPr>
      <w:tabs>
        <w:tab w:val="center" w:pos="4320"/>
        <w:tab w:val="right" w:pos="8640"/>
      </w:tabs>
    </w:pPr>
  </w:style>
  <w:style w:type="character" w:customStyle="1" w:styleId="HeaderChar">
    <w:name w:val="Header Char"/>
    <w:basedOn w:val="DefaultParagraphFont"/>
    <w:link w:val="Header"/>
    <w:uiPriority w:val="99"/>
    <w:rsid w:val="003E3391"/>
    <w:rPr>
      <w:lang w:val="en-GB"/>
    </w:rPr>
  </w:style>
  <w:style w:type="paragraph" w:styleId="Footer">
    <w:name w:val="footer"/>
    <w:basedOn w:val="Normal"/>
    <w:link w:val="FooterChar"/>
    <w:uiPriority w:val="99"/>
    <w:unhideWhenUsed/>
    <w:rsid w:val="003E3391"/>
    <w:pPr>
      <w:tabs>
        <w:tab w:val="center" w:pos="4320"/>
        <w:tab w:val="right" w:pos="8640"/>
      </w:tabs>
    </w:pPr>
  </w:style>
  <w:style w:type="character" w:customStyle="1" w:styleId="FooterChar">
    <w:name w:val="Footer Char"/>
    <w:basedOn w:val="DefaultParagraphFont"/>
    <w:link w:val="Footer"/>
    <w:uiPriority w:val="99"/>
    <w:rsid w:val="003E339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4681">
      <w:bodyDiv w:val="1"/>
      <w:marLeft w:val="0"/>
      <w:marRight w:val="0"/>
      <w:marTop w:val="0"/>
      <w:marBottom w:val="0"/>
      <w:divBdr>
        <w:top w:val="none" w:sz="0" w:space="0" w:color="auto"/>
        <w:left w:val="none" w:sz="0" w:space="0" w:color="auto"/>
        <w:bottom w:val="none" w:sz="0" w:space="0" w:color="auto"/>
        <w:right w:val="none" w:sz="0" w:space="0" w:color="auto"/>
      </w:divBdr>
    </w:div>
    <w:div w:id="201597027">
      <w:bodyDiv w:val="1"/>
      <w:marLeft w:val="0"/>
      <w:marRight w:val="0"/>
      <w:marTop w:val="0"/>
      <w:marBottom w:val="0"/>
      <w:divBdr>
        <w:top w:val="none" w:sz="0" w:space="0" w:color="auto"/>
        <w:left w:val="none" w:sz="0" w:space="0" w:color="auto"/>
        <w:bottom w:val="none" w:sz="0" w:space="0" w:color="auto"/>
        <w:right w:val="none" w:sz="0" w:space="0" w:color="auto"/>
      </w:divBdr>
    </w:div>
    <w:div w:id="252974920">
      <w:bodyDiv w:val="1"/>
      <w:marLeft w:val="0"/>
      <w:marRight w:val="0"/>
      <w:marTop w:val="0"/>
      <w:marBottom w:val="0"/>
      <w:divBdr>
        <w:top w:val="none" w:sz="0" w:space="0" w:color="auto"/>
        <w:left w:val="none" w:sz="0" w:space="0" w:color="auto"/>
        <w:bottom w:val="none" w:sz="0" w:space="0" w:color="auto"/>
        <w:right w:val="none" w:sz="0" w:space="0" w:color="auto"/>
      </w:divBdr>
    </w:div>
    <w:div w:id="281502484">
      <w:bodyDiv w:val="1"/>
      <w:marLeft w:val="0"/>
      <w:marRight w:val="0"/>
      <w:marTop w:val="0"/>
      <w:marBottom w:val="0"/>
      <w:divBdr>
        <w:top w:val="none" w:sz="0" w:space="0" w:color="auto"/>
        <w:left w:val="none" w:sz="0" w:space="0" w:color="auto"/>
        <w:bottom w:val="none" w:sz="0" w:space="0" w:color="auto"/>
        <w:right w:val="none" w:sz="0" w:space="0" w:color="auto"/>
      </w:divBdr>
    </w:div>
    <w:div w:id="350032965">
      <w:bodyDiv w:val="1"/>
      <w:marLeft w:val="0"/>
      <w:marRight w:val="0"/>
      <w:marTop w:val="0"/>
      <w:marBottom w:val="0"/>
      <w:divBdr>
        <w:top w:val="none" w:sz="0" w:space="0" w:color="auto"/>
        <w:left w:val="none" w:sz="0" w:space="0" w:color="auto"/>
        <w:bottom w:val="none" w:sz="0" w:space="0" w:color="auto"/>
        <w:right w:val="none" w:sz="0" w:space="0" w:color="auto"/>
      </w:divBdr>
    </w:div>
    <w:div w:id="382751406">
      <w:bodyDiv w:val="1"/>
      <w:marLeft w:val="0"/>
      <w:marRight w:val="0"/>
      <w:marTop w:val="0"/>
      <w:marBottom w:val="0"/>
      <w:divBdr>
        <w:top w:val="none" w:sz="0" w:space="0" w:color="auto"/>
        <w:left w:val="none" w:sz="0" w:space="0" w:color="auto"/>
        <w:bottom w:val="none" w:sz="0" w:space="0" w:color="auto"/>
        <w:right w:val="none" w:sz="0" w:space="0" w:color="auto"/>
      </w:divBdr>
    </w:div>
    <w:div w:id="457144252">
      <w:bodyDiv w:val="1"/>
      <w:marLeft w:val="0"/>
      <w:marRight w:val="0"/>
      <w:marTop w:val="0"/>
      <w:marBottom w:val="0"/>
      <w:divBdr>
        <w:top w:val="none" w:sz="0" w:space="0" w:color="auto"/>
        <w:left w:val="none" w:sz="0" w:space="0" w:color="auto"/>
        <w:bottom w:val="none" w:sz="0" w:space="0" w:color="auto"/>
        <w:right w:val="none" w:sz="0" w:space="0" w:color="auto"/>
      </w:divBdr>
    </w:div>
    <w:div w:id="810515315">
      <w:bodyDiv w:val="1"/>
      <w:marLeft w:val="0"/>
      <w:marRight w:val="0"/>
      <w:marTop w:val="0"/>
      <w:marBottom w:val="0"/>
      <w:divBdr>
        <w:top w:val="none" w:sz="0" w:space="0" w:color="auto"/>
        <w:left w:val="none" w:sz="0" w:space="0" w:color="auto"/>
        <w:bottom w:val="none" w:sz="0" w:space="0" w:color="auto"/>
        <w:right w:val="none" w:sz="0" w:space="0" w:color="auto"/>
      </w:divBdr>
    </w:div>
    <w:div w:id="999692226">
      <w:bodyDiv w:val="1"/>
      <w:marLeft w:val="0"/>
      <w:marRight w:val="0"/>
      <w:marTop w:val="0"/>
      <w:marBottom w:val="0"/>
      <w:divBdr>
        <w:top w:val="none" w:sz="0" w:space="0" w:color="auto"/>
        <w:left w:val="none" w:sz="0" w:space="0" w:color="auto"/>
        <w:bottom w:val="none" w:sz="0" w:space="0" w:color="auto"/>
        <w:right w:val="none" w:sz="0" w:space="0" w:color="auto"/>
      </w:divBdr>
    </w:div>
    <w:div w:id="1144544885">
      <w:bodyDiv w:val="1"/>
      <w:marLeft w:val="0"/>
      <w:marRight w:val="0"/>
      <w:marTop w:val="0"/>
      <w:marBottom w:val="0"/>
      <w:divBdr>
        <w:top w:val="none" w:sz="0" w:space="0" w:color="auto"/>
        <w:left w:val="none" w:sz="0" w:space="0" w:color="auto"/>
        <w:bottom w:val="none" w:sz="0" w:space="0" w:color="auto"/>
        <w:right w:val="none" w:sz="0" w:space="0" w:color="auto"/>
      </w:divBdr>
    </w:div>
    <w:div w:id="19418394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915</Words>
  <Characters>5220</Characters>
  <Application>Microsoft Macintosh Word</Application>
  <DocSecurity>0</DocSecurity>
  <Lines>43</Lines>
  <Paragraphs>12</Paragraphs>
  <ScaleCrop>false</ScaleCrop>
  <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EFPIA</dc:creator>
  <cp:keywords/>
  <dc:description/>
  <cp:lastModifiedBy>Giulia Biasi</cp:lastModifiedBy>
  <cp:revision>2</cp:revision>
  <cp:lastPrinted>2014-05-23T15:02:00Z</cp:lastPrinted>
  <dcterms:created xsi:type="dcterms:W3CDTF">2016-02-16T09:09:00Z</dcterms:created>
  <dcterms:modified xsi:type="dcterms:W3CDTF">2016-02-16T09:09:00Z</dcterms:modified>
</cp:coreProperties>
</file>