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CA3C3" w14:textId="77777777" w:rsidR="008504B1" w:rsidRPr="00976F31" w:rsidRDefault="008504B1" w:rsidP="00FD4F86">
      <w:pPr>
        <w:pStyle w:val="Heading1"/>
        <w:rPr>
          <w:rFonts w:eastAsia="Verdana"/>
          <w:u w:color="000000"/>
        </w:rPr>
      </w:pPr>
      <w:bookmarkStart w:id="0" w:name="_GoBack"/>
      <w:bookmarkEnd w:id="0"/>
      <w:r w:rsidRPr="001A2686">
        <w:rPr>
          <w:rFonts w:ascii="Calibri" w:hAnsi="Calibri"/>
          <w:noProof/>
          <w:color w:val="31808B"/>
          <w:sz w:val="24"/>
          <w:lang w:val="en-US" w:eastAsia="zh-TW"/>
        </w:rPr>
        <w:drawing>
          <wp:anchor distT="0" distB="0" distL="114300" distR="114300" simplePos="0" relativeHeight="251659264" behindDoc="0" locked="0" layoutInCell="1" allowOverlap="1" wp14:anchorId="3E1E1518" wp14:editId="231C1A3A">
            <wp:simplePos x="0" y="0"/>
            <wp:positionH relativeFrom="column">
              <wp:posOffset>-50369</wp:posOffset>
            </wp:positionH>
            <wp:positionV relativeFrom="paragraph">
              <wp:posOffset>44150</wp:posOffset>
            </wp:positionV>
            <wp:extent cx="2432649" cy="1086928"/>
            <wp:effectExtent l="0" t="0" r="6350" b="0"/>
            <wp:wrapNone/>
            <wp:docPr id="2" name="Picture 29" descr="EFPI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PIA Logo.png"/>
                    <pic:cNvPicPr/>
                  </pic:nvPicPr>
                  <pic:blipFill rotWithShape="1">
                    <a:blip r:embed="rId11" cstate="print"/>
                    <a:srcRect b="21727"/>
                    <a:stretch/>
                  </pic:blipFill>
                  <pic:spPr bwMode="auto">
                    <a:xfrm>
                      <a:off x="0" y="0"/>
                      <a:ext cx="2432649" cy="1086928"/>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E335FA3" w14:textId="77777777" w:rsidR="008504B1" w:rsidRPr="00976F31" w:rsidRDefault="008504B1" w:rsidP="00FD4F86">
      <w:pPr>
        <w:pStyle w:val="Heading1"/>
        <w:rPr>
          <w:rFonts w:eastAsia="Verdana"/>
          <w:u w:color="000000"/>
        </w:rPr>
      </w:pPr>
    </w:p>
    <w:tbl>
      <w:tblPr>
        <w:tblW w:w="366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0"/>
        <w:gridCol w:w="315"/>
        <w:gridCol w:w="837"/>
        <w:gridCol w:w="610"/>
        <w:gridCol w:w="349"/>
      </w:tblGrid>
      <w:tr w:rsidR="008504B1" w:rsidRPr="00976F31" w14:paraId="771EF162" w14:textId="77777777" w:rsidTr="00FD4F86">
        <w:trPr>
          <w:trHeight w:val="260"/>
          <w:jc w:val="right"/>
        </w:trPr>
        <w:tc>
          <w:tcPr>
            <w:tcW w:w="1550" w:type="dxa"/>
            <w:tcBorders>
              <w:top w:val="nil"/>
              <w:left w:val="nil"/>
              <w:bottom w:val="nil"/>
              <w:right w:val="single" w:sz="18" w:space="0" w:color="808080" w:themeColor="background1" w:themeShade="80"/>
            </w:tcBorders>
            <w:vAlign w:val="center"/>
          </w:tcPr>
          <w:p w14:paraId="63E8A3FD" w14:textId="77777777" w:rsidR="008504B1" w:rsidRPr="00976F31" w:rsidRDefault="008504B1" w:rsidP="008379A8">
            <w:pPr>
              <w:tabs>
                <w:tab w:val="center" w:pos="4680"/>
                <w:tab w:val="right" w:pos="9360"/>
              </w:tabs>
              <w:spacing w:after="120" w:line="240" w:lineRule="auto"/>
              <w:rPr>
                <w:rFonts w:ascii="Calibri" w:eastAsia="Times New Roman" w:hAnsi="Calibri" w:cs="Times New Roman"/>
                <w:color w:val="31808B"/>
                <w:sz w:val="24"/>
                <w:szCs w:val="24"/>
              </w:rPr>
            </w:pPr>
            <w:r w:rsidRPr="00976F31">
              <w:rPr>
                <w:rFonts w:ascii="Calibri" w:eastAsia="Times New Roman" w:hAnsi="Calibri" w:cs="Times New Roman"/>
                <w:color w:val="31808B"/>
                <w:sz w:val="24"/>
                <w:szCs w:val="24"/>
              </w:rPr>
              <w:t>Draft</w:t>
            </w:r>
          </w:p>
        </w:tc>
        <w:tc>
          <w:tcPr>
            <w:tcW w:w="315" w:type="dxa"/>
            <w:tcBorders>
              <w:top w:val="single" w:sz="18" w:space="0" w:color="808080" w:themeColor="background1" w:themeShade="80"/>
              <w:left w:val="single" w:sz="18" w:space="0" w:color="808080" w:themeColor="background1" w:themeShade="80"/>
              <w:bottom w:val="single" w:sz="18" w:space="0" w:color="808080" w:themeColor="background1" w:themeShade="80"/>
              <w:right w:val="single" w:sz="18" w:space="0" w:color="808080" w:themeColor="background1" w:themeShade="80"/>
            </w:tcBorders>
            <w:vAlign w:val="center"/>
          </w:tcPr>
          <w:p w14:paraId="6EE80E74" w14:textId="6C4D31E7" w:rsidR="008504B1" w:rsidRPr="00976F31" w:rsidRDefault="008504B1" w:rsidP="008379A8">
            <w:pPr>
              <w:tabs>
                <w:tab w:val="center" w:pos="4680"/>
                <w:tab w:val="right" w:pos="9360"/>
              </w:tabs>
              <w:spacing w:after="120" w:line="240" w:lineRule="auto"/>
              <w:jc w:val="center"/>
              <w:rPr>
                <w:rFonts w:ascii="Calibri" w:eastAsia="Times New Roman" w:hAnsi="Calibri" w:cs="Times New Roman"/>
                <w:color w:val="E36C0A"/>
                <w:sz w:val="24"/>
                <w:szCs w:val="24"/>
              </w:rPr>
            </w:pPr>
          </w:p>
        </w:tc>
        <w:tc>
          <w:tcPr>
            <w:tcW w:w="837" w:type="dxa"/>
            <w:tcBorders>
              <w:top w:val="nil"/>
              <w:left w:val="single" w:sz="18" w:space="0" w:color="808080" w:themeColor="background1" w:themeShade="80"/>
              <w:bottom w:val="nil"/>
              <w:right w:val="nil"/>
            </w:tcBorders>
          </w:tcPr>
          <w:p w14:paraId="577F6768" w14:textId="4FC2D423" w:rsidR="008504B1" w:rsidRPr="00976F31" w:rsidRDefault="008504B1" w:rsidP="008379A8">
            <w:pPr>
              <w:tabs>
                <w:tab w:val="center" w:pos="4680"/>
                <w:tab w:val="right" w:pos="9360"/>
              </w:tabs>
              <w:spacing w:after="120" w:line="240" w:lineRule="auto"/>
              <w:jc w:val="both"/>
              <w:rPr>
                <w:rFonts w:ascii="Calibri" w:eastAsia="Times New Roman" w:hAnsi="Calibri" w:cs="Times New Roman"/>
                <w:color w:val="31808B"/>
                <w:sz w:val="24"/>
                <w:szCs w:val="24"/>
              </w:rPr>
            </w:pPr>
          </w:p>
        </w:tc>
        <w:tc>
          <w:tcPr>
            <w:tcW w:w="610" w:type="dxa"/>
            <w:tcBorders>
              <w:top w:val="nil"/>
              <w:left w:val="nil"/>
              <w:bottom w:val="nil"/>
              <w:right w:val="single" w:sz="18" w:space="0" w:color="808080" w:themeColor="background1" w:themeShade="80"/>
            </w:tcBorders>
            <w:vAlign w:val="center"/>
          </w:tcPr>
          <w:p w14:paraId="4DAEF6F1" w14:textId="3FA4EDEF" w:rsidR="008504B1" w:rsidRPr="00976F31" w:rsidRDefault="008504B1" w:rsidP="008379A8">
            <w:pPr>
              <w:tabs>
                <w:tab w:val="center" w:pos="4680"/>
                <w:tab w:val="right" w:pos="9360"/>
              </w:tabs>
              <w:spacing w:after="120" w:line="240" w:lineRule="auto"/>
              <w:rPr>
                <w:rFonts w:ascii="Calibri" w:eastAsia="Times New Roman" w:hAnsi="Calibri" w:cs="Times New Roman"/>
                <w:color w:val="31808B"/>
                <w:sz w:val="24"/>
                <w:szCs w:val="24"/>
              </w:rPr>
            </w:pPr>
            <w:r w:rsidRPr="00976F31">
              <w:rPr>
                <w:rFonts w:ascii="Calibri" w:eastAsia="Times New Roman" w:hAnsi="Calibri" w:cs="Times New Roman"/>
                <w:color w:val="31808B"/>
                <w:sz w:val="24"/>
                <w:szCs w:val="24"/>
              </w:rPr>
              <w:t>Final</w:t>
            </w:r>
          </w:p>
        </w:tc>
        <w:tc>
          <w:tcPr>
            <w:tcW w:w="349" w:type="dxa"/>
            <w:tcBorders>
              <w:top w:val="single" w:sz="18" w:space="0" w:color="808080" w:themeColor="background1" w:themeShade="80"/>
              <w:left w:val="single" w:sz="18" w:space="0" w:color="808080" w:themeColor="background1" w:themeShade="80"/>
              <w:bottom w:val="single" w:sz="18" w:space="0" w:color="808080" w:themeColor="background1" w:themeShade="80"/>
              <w:right w:val="single" w:sz="18" w:space="0" w:color="808080" w:themeColor="background1" w:themeShade="80"/>
            </w:tcBorders>
            <w:vAlign w:val="center"/>
          </w:tcPr>
          <w:p w14:paraId="4C44668C" w14:textId="68806E6A" w:rsidR="008504B1" w:rsidRPr="00976F31" w:rsidRDefault="002032AB" w:rsidP="008379A8">
            <w:pPr>
              <w:tabs>
                <w:tab w:val="center" w:pos="4680"/>
                <w:tab w:val="right" w:pos="9360"/>
              </w:tabs>
              <w:spacing w:after="120" w:line="240" w:lineRule="auto"/>
              <w:jc w:val="center"/>
              <w:rPr>
                <w:rFonts w:ascii="Calibri" w:eastAsia="Times New Roman" w:hAnsi="Calibri" w:cs="Times New Roman"/>
                <w:color w:val="E36C0A"/>
                <w:sz w:val="24"/>
                <w:szCs w:val="24"/>
              </w:rPr>
            </w:pPr>
            <w:r w:rsidRPr="001A2686">
              <w:rPr>
                <w:rFonts w:ascii="Calibri" w:hAnsi="Calibri"/>
                <w:noProof/>
                <w:color w:val="E36C0A"/>
                <w:sz w:val="24"/>
                <w:lang w:val="en-US" w:eastAsia="zh-TW"/>
              </w:rPr>
              <w:drawing>
                <wp:anchor distT="0" distB="0" distL="114300" distR="114300" simplePos="0" relativeHeight="251661312" behindDoc="0" locked="0" layoutInCell="1" allowOverlap="1" wp14:anchorId="0826FB1D" wp14:editId="009A330E">
                  <wp:simplePos x="0" y="0"/>
                  <wp:positionH relativeFrom="column">
                    <wp:posOffset>33655</wp:posOffset>
                  </wp:positionH>
                  <wp:positionV relativeFrom="paragraph">
                    <wp:posOffset>57150</wp:posOffset>
                  </wp:positionV>
                  <wp:extent cx="132080" cy="135890"/>
                  <wp:effectExtent l="0" t="0" r="1270" b="0"/>
                  <wp:wrapNone/>
                  <wp:docPr id="3" name="Picture 1" descr="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png"/>
                          <pic:cNvPicPr/>
                        </pic:nvPicPr>
                        <pic:blipFill>
                          <a:blip r:embed="rId12" cstate="print"/>
                          <a:stretch>
                            <a:fillRect/>
                          </a:stretch>
                        </pic:blipFill>
                        <pic:spPr>
                          <a:xfrm>
                            <a:off x="0" y="0"/>
                            <a:ext cx="132080" cy="135890"/>
                          </a:xfrm>
                          <a:prstGeom prst="rect">
                            <a:avLst/>
                          </a:prstGeom>
                        </pic:spPr>
                      </pic:pic>
                    </a:graphicData>
                  </a:graphic>
                  <wp14:sizeRelH relativeFrom="margin">
                    <wp14:pctWidth>0</wp14:pctWidth>
                  </wp14:sizeRelH>
                  <wp14:sizeRelV relativeFrom="margin">
                    <wp14:pctHeight>0</wp14:pctHeight>
                  </wp14:sizeRelV>
                </wp:anchor>
              </w:drawing>
            </w:r>
          </w:p>
        </w:tc>
      </w:tr>
    </w:tbl>
    <w:p w14:paraId="791F2559" w14:textId="77777777" w:rsidR="008504B1" w:rsidRPr="00976F31" w:rsidRDefault="008504B1" w:rsidP="00FD4F86">
      <w:pPr>
        <w:pStyle w:val="Heading1"/>
        <w:rPr>
          <w:rFonts w:eastAsia="Verdana"/>
          <w:u w:color="000000"/>
        </w:rPr>
      </w:pPr>
    </w:p>
    <w:p w14:paraId="3AE8C523" w14:textId="77777777" w:rsidR="008504B1" w:rsidRPr="00976F31" w:rsidRDefault="008504B1" w:rsidP="00FD4F86">
      <w:pPr>
        <w:pStyle w:val="Heading1"/>
        <w:rPr>
          <w:rFonts w:eastAsia="Verdana"/>
          <w:u w:color="000000"/>
        </w:rPr>
      </w:pPr>
    </w:p>
    <w:p w14:paraId="3555FFD0" w14:textId="68D987CC" w:rsidR="008A3D64" w:rsidRPr="00976F31" w:rsidRDefault="008504B1" w:rsidP="00FD4F86">
      <w:pPr>
        <w:pStyle w:val="Heading1"/>
        <w:rPr>
          <w:rFonts w:eastAsia="Verdana"/>
          <w:u w:color="000000"/>
        </w:rPr>
      </w:pPr>
      <w:r w:rsidRPr="00976F31">
        <w:rPr>
          <w:rFonts w:eastAsia="Verdana"/>
          <w:u w:color="000000"/>
        </w:rPr>
        <w:t>E</w:t>
      </w:r>
      <w:r w:rsidR="008A3D64" w:rsidRPr="00976F31">
        <w:rPr>
          <w:rFonts w:eastAsia="Verdana"/>
          <w:u w:color="000000"/>
        </w:rPr>
        <w:t xml:space="preserve">FPIA </w:t>
      </w:r>
      <w:r w:rsidR="008A3D64" w:rsidRPr="00976F31">
        <w:rPr>
          <w:rFonts w:eastAsia="Verdana"/>
          <w:i/>
          <w:u w:color="000000"/>
        </w:rPr>
        <w:t xml:space="preserve">IREG </w:t>
      </w:r>
      <w:r w:rsidR="009667A3" w:rsidRPr="00976F31">
        <w:rPr>
          <w:rFonts w:eastAsia="Verdana"/>
          <w:u w:color="000000"/>
        </w:rPr>
        <w:t>Point</w:t>
      </w:r>
      <w:r w:rsidR="0065291C" w:rsidRPr="00976F31">
        <w:rPr>
          <w:rFonts w:eastAsia="Verdana"/>
          <w:u w:color="000000"/>
        </w:rPr>
        <w:t>s</w:t>
      </w:r>
      <w:r w:rsidR="009667A3" w:rsidRPr="00976F31">
        <w:rPr>
          <w:rFonts w:eastAsia="Verdana"/>
          <w:u w:color="000000"/>
        </w:rPr>
        <w:t xml:space="preserve"> to consider</w:t>
      </w:r>
      <w:r w:rsidR="00B6665E" w:rsidRPr="00976F31">
        <w:rPr>
          <w:rFonts w:eastAsia="Verdana"/>
          <w:u w:color="000000"/>
        </w:rPr>
        <w:t xml:space="preserve"> i</w:t>
      </w:r>
      <w:r w:rsidR="008A3D64" w:rsidRPr="00976F31">
        <w:rPr>
          <w:rFonts w:eastAsia="Verdana"/>
          <w:u w:color="000000"/>
        </w:rPr>
        <w:t>n Developing</w:t>
      </w:r>
      <w:r w:rsidR="008A3D64" w:rsidRPr="00976F31">
        <w:rPr>
          <w:rFonts w:eastAsia="Verdana"/>
          <w:color w:val="00B0F0"/>
          <w:u w:color="000000"/>
        </w:rPr>
        <w:t xml:space="preserve"> </w:t>
      </w:r>
      <w:r w:rsidR="008A3D64" w:rsidRPr="00976F31">
        <w:rPr>
          <w:rFonts w:eastAsia="Verdana"/>
          <w:u w:color="000000"/>
        </w:rPr>
        <w:t>Regulations</w:t>
      </w:r>
      <w:r w:rsidR="00B6665E" w:rsidRPr="00976F31">
        <w:rPr>
          <w:rFonts w:eastAsia="Verdana"/>
          <w:u w:color="000000"/>
        </w:rPr>
        <w:t xml:space="preserve"> and Guidance</w:t>
      </w:r>
      <w:r w:rsidR="00976F31">
        <w:rPr>
          <w:rFonts w:eastAsia="Verdana"/>
          <w:u w:color="000000"/>
        </w:rPr>
        <w:t xml:space="preserve"> related to </w:t>
      </w:r>
      <w:r w:rsidR="00976F31" w:rsidRPr="00976F31">
        <w:rPr>
          <w:rFonts w:eastAsia="Verdana"/>
          <w:u w:color="000000"/>
        </w:rPr>
        <w:t>Orphan Medicinal Product</w:t>
      </w:r>
      <w:r w:rsidR="00976F31">
        <w:rPr>
          <w:rFonts w:eastAsia="Verdana"/>
          <w:u w:color="000000"/>
        </w:rPr>
        <w:t>s</w:t>
      </w:r>
      <w:r w:rsidR="00D97C67" w:rsidRPr="00976F31">
        <w:rPr>
          <w:rFonts w:eastAsia="Verdana"/>
          <w:u w:color="000000"/>
        </w:rPr>
        <w:t xml:space="preserve"> in Emerging Markets</w:t>
      </w:r>
    </w:p>
    <w:p w14:paraId="3F438CAE" w14:textId="5277C8BC" w:rsidR="008A3D64" w:rsidRPr="00FD4F86" w:rsidRDefault="008504B1" w:rsidP="00FD4F86">
      <w:r w:rsidRPr="00976F31">
        <w:rPr>
          <w:b/>
        </w:rPr>
        <w:t>Date:</w:t>
      </w:r>
      <w:r w:rsidRPr="00976F31">
        <w:t xml:space="preserve"> </w:t>
      </w:r>
      <w:r w:rsidR="006513DB">
        <w:t>2</w:t>
      </w:r>
      <w:r w:rsidR="00491A66">
        <w:t>6</w:t>
      </w:r>
      <w:r w:rsidRPr="00976F31">
        <w:t>/</w:t>
      </w:r>
      <w:r w:rsidR="00491A66">
        <w:t>11</w:t>
      </w:r>
      <w:r w:rsidRPr="00976F31">
        <w:t>/2018</w:t>
      </w:r>
    </w:p>
    <w:p w14:paraId="1D78B8F1" w14:textId="77777777" w:rsidR="008504B1" w:rsidRPr="00976F31" w:rsidRDefault="008504B1" w:rsidP="008A3D64">
      <w:pPr>
        <w:spacing w:after="0" w:line="240" w:lineRule="auto"/>
        <w:rPr>
          <w:rFonts w:ascii="Arial" w:eastAsia="Verdana" w:hAnsi="Arial" w:cs="Arial"/>
          <w:color w:val="000000" w:themeColor="text1"/>
          <w:sz w:val="20"/>
          <w:szCs w:val="20"/>
          <w:u w:color="000000"/>
          <w:lang w:eastAsia="en-GB"/>
        </w:rPr>
      </w:pPr>
    </w:p>
    <w:p w14:paraId="4AA91297" w14:textId="7C3B8422" w:rsidR="00063D67" w:rsidRPr="00976F31" w:rsidRDefault="009667A3" w:rsidP="00FD4F86">
      <w:pPr>
        <w:pStyle w:val="Heading1"/>
        <w:rPr>
          <w:rFonts w:cs="EUAlbertina"/>
        </w:rPr>
      </w:pPr>
      <w:r w:rsidRPr="00976F31">
        <w:rPr>
          <w:rFonts w:eastAsia="Verdana"/>
          <w:u w:color="000000"/>
        </w:rPr>
        <w:t>Introduction</w:t>
      </w:r>
    </w:p>
    <w:p w14:paraId="533AF542" w14:textId="4BD387C8" w:rsidR="00530C9C" w:rsidRPr="00976F31" w:rsidRDefault="00530C9C" w:rsidP="00FD4F86">
      <w:pPr>
        <w:spacing w:after="0" w:line="360" w:lineRule="auto"/>
        <w:jc w:val="both"/>
        <w:rPr>
          <w:bCs/>
          <w:sz w:val="20"/>
          <w:szCs w:val="20"/>
        </w:rPr>
      </w:pPr>
      <w:r w:rsidRPr="00976F31">
        <w:rPr>
          <w:rFonts w:cs="EUAlbertina"/>
          <w:sz w:val="20"/>
          <w:szCs w:val="20"/>
        </w:rPr>
        <w:t xml:space="preserve">To achieve better health outcomes for patients with rare diseases </w:t>
      </w:r>
      <w:r w:rsidR="00AC2366" w:rsidRPr="00976F31">
        <w:rPr>
          <w:rFonts w:cs="EUAlbertina"/>
          <w:sz w:val="20"/>
          <w:szCs w:val="20"/>
        </w:rPr>
        <w:t xml:space="preserve">and to have </w:t>
      </w:r>
      <w:r w:rsidRPr="00976F31">
        <w:rPr>
          <w:rFonts w:cs="EUAlbertina"/>
          <w:sz w:val="20"/>
          <w:szCs w:val="20"/>
        </w:rPr>
        <w:t xml:space="preserve">more </w:t>
      </w:r>
      <w:r w:rsidR="007156E3" w:rsidRPr="00976F31">
        <w:rPr>
          <w:rFonts w:cs="EUAlbertina"/>
          <w:sz w:val="20"/>
          <w:szCs w:val="20"/>
        </w:rPr>
        <w:t>t</w:t>
      </w:r>
      <w:r w:rsidR="00685A5B" w:rsidRPr="00976F31">
        <w:rPr>
          <w:rFonts w:cs="EUAlbertina"/>
          <w:sz w:val="20"/>
          <w:szCs w:val="20"/>
        </w:rPr>
        <w:t>reatment</w:t>
      </w:r>
      <w:r w:rsidRPr="00976F31">
        <w:rPr>
          <w:rFonts w:cs="EUAlbertina"/>
          <w:sz w:val="20"/>
          <w:szCs w:val="20"/>
        </w:rPr>
        <w:t xml:space="preserve"> options</w:t>
      </w:r>
      <w:r w:rsidR="00685A5B" w:rsidRPr="00976F31">
        <w:rPr>
          <w:rFonts w:cs="EUAlbertina"/>
          <w:sz w:val="20"/>
          <w:szCs w:val="20"/>
        </w:rPr>
        <w:t xml:space="preserve"> for </w:t>
      </w:r>
      <w:r w:rsidRPr="00976F31">
        <w:rPr>
          <w:rFonts w:cs="EUAlbertina"/>
          <w:sz w:val="20"/>
          <w:szCs w:val="20"/>
        </w:rPr>
        <w:t>these patients</w:t>
      </w:r>
      <w:r w:rsidR="00976F31">
        <w:rPr>
          <w:rFonts w:cs="EUAlbertina"/>
          <w:sz w:val="20"/>
          <w:szCs w:val="20"/>
        </w:rPr>
        <w:t xml:space="preserve"> </w:t>
      </w:r>
      <w:r w:rsidR="00685A5B" w:rsidRPr="00976F31">
        <w:rPr>
          <w:rFonts w:cs="EUAlbertina"/>
          <w:sz w:val="20"/>
          <w:szCs w:val="20"/>
        </w:rPr>
        <w:t>require</w:t>
      </w:r>
      <w:r w:rsidRPr="00976F31">
        <w:rPr>
          <w:rFonts w:cs="EUAlbertina"/>
          <w:sz w:val="20"/>
          <w:szCs w:val="20"/>
        </w:rPr>
        <w:t>s</w:t>
      </w:r>
      <w:r w:rsidR="00685A5B" w:rsidRPr="00976F31">
        <w:rPr>
          <w:rFonts w:cs="EUAlbertina"/>
          <w:sz w:val="20"/>
          <w:szCs w:val="20"/>
        </w:rPr>
        <w:t xml:space="preserve"> </w:t>
      </w:r>
      <w:r w:rsidR="00976F31">
        <w:rPr>
          <w:rFonts w:cs="EUAlbertina"/>
          <w:sz w:val="20"/>
          <w:szCs w:val="20"/>
        </w:rPr>
        <w:t xml:space="preserve">innovative pharmaceutical companies to carry out </w:t>
      </w:r>
      <w:r w:rsidRPr="00976F31">
        <w:rPr>
          <w:rFonts w:cs="EUAlbertina"/>
          <w:sz w:val="20"/>
          <w:szCs w:val="20"/>
        </w:rPr>
        <w:t xml:space="preserve">medicine </w:t>
      </w:r>
      <w:r w:rsidR="00685A5B" w:rsidRPr="00976F31">
        <w:rPr>
          <w:rFonts w:cs="EUAlbertina"/>
          <w:sz w:val="20"/>
          <w:szCs w:val="20"/>
        </w:rPr>
        <w:t>development programs that have a high risk of failure.</w:t>
      </w:r>
      <w:r w:rsidR="005B1153" w:rsidRPr="00976F31">
        <w:rPr>
          <w:rFonts w:cs="EUAlbertina"/>
          <w:sz w:val="20"/>
          <w:szCs w:val="20"/>
        </w:rPr>
        <w:t xml:space="preserve"> </w:t>
      </w:r>
      <w:r w:rsidR="00F11341" w:rsidRPr="00976F31">
        <w:rPr>
          <w:bCs/>
          <w:sz w:val="20"/>
          <w:szCs w:val="20"/>
        </w:rPr>
        <w:t xml:space="preserve">The </w:t>
      </w:r>
      <w:r w:rsidR="00976F31">
        <w:rPr>
          <w:bCs/>
          <w:sz w:val="20"/>
          <w:szCs w:val="20"/>
        </w:rPr>
        <w:t>development of</w:t>
      </w:r>
      <w:r w:rsidR="009F1A3F" w:rsidRPr="00976F31">
        <w:rPr>
          <w:bCs/>
          <w:sz w:val="20"/>
          <w:szCs w:val="20"/>
        </w:rPr>
        <w:t xml:space="preserve"> </w:t>
      </w:r>
      <w:r w:rsidR="00F11341" w:rsidRPr="00976F31">
        <w:rPr>
          <w:bCs/>
          <w:sz w:val="20"/>
          <w:szCs w:val="20"/>
        </w:rPr>
        <w:t>new treatment</w:t>
      </w:r>
      <w:r w:rsidR="005B724B" w:rsidRPr="00976F31">
        <w:rPr>
          <w:bCs/>
          <w:sz w:val="20"/>
          <w:szCs w:val="20"/>
        </w:rPr>
        <w:t>s</w:t>
      </w:r>
      <w:r w:rsidR="00F11341" w:rsidRPr="00976F31">
        <w:rPr>
          <w:bCs/>
          <w:sz w:val="20"/>
          <w:szCs w:val="20"/>
        </w:rPr>
        <w:t xml:space="preserve"> for rare diseases </w:t>
      </w:r>
      <w:r w:rsidR="00976F31">
        <w:rPr>
          <w:bCs/>
          <w:sz w:val="20"/>
          <w:szCs w:val="20"/>
        </w:rPr>
        <w:t>involves</w:t>
      </w:r>
      <w:r w:rsidR="00F11341" w:rsidRPr="00976F31">
        <w:rPr>
          <w:bCs/>
          <w:sz w:val="20"/>
          <w:szCs w:val="20"/>
        </w:rPr>
        <w:t xml:space="preserve"> difficulties linked to the unique characteristics </w:t>
      </w:r>
      <w:r w:rsidR="006D3185">
        <w:rPr>
          <w:bCs/>
          <w:sz w:val="20"/>
          <w:szCs w:val="20"/>
        </w:rPr>
        <w:t>of</w:t>
      </w:r>
      <w:r w:rsidR="00F11341" w:rsidRPr="00976F31">
        <w:rPr>
          <w:bCs/>
          <w:sz w:val="20"/>
          <w:szCs w:val="20"/>
        </w:rPr>
        <w:t xml:space="preserve"> </w:t>
      </w:r>
      <w:r w:rsidR="00976F31">
        <w:rPr>
          <w:bCs/>
          <w:sz w:val="20"/>
          <w:szCs w:val="20"/>
        </w:rPr>
        <w:t>rare diseases</w:t>
      </w:r>
      <w:r w:rsidR="00F11341" w:rsidRPr="00976F31">
        <w:rPr>
          <w:bCs/>
          <w:sz w:val="20"/>
          <w:szCs w:val="20"/>
        </w:rPr>
        <w:t xml:space="preserve">, including the limited number of patients available for </w:t>
      </w:r>
      <w:r w:rsidR="009F1A3F" w:rsidRPr="00976F31">
        <w:rPr>
          <w:bCs/>
          <w:sz w:val="20"/>
          <w:szCs w:val="20"/>
        </w:rPr>
        <w:t xml:space="preserve">clinical </w:t>
      </w:r>
      <w:r w:rsidR="00F11341" w:rsidRPr="00976F31">
        <w:rPr>
          <w:bCs/>
          <w:sz w:val="20"/>
          <w:szCs w:val="20"/>
        </w:rPr>
        <w:t>trials</w:t>
      </w:r>
      <w:r w:rsidRPr="00976F31">
        <w:rPr>
          <w:bCs/>
          <w:sz w:val="20"/>
          <w:szCs w:val="20"/>
        </w:rPr>
        <w:t xml:space="preserve"> and treatment</w:t>
      </w:r>
      <w:r w:rsidR="00F11341" w:rsidRPr="00976F31">
        <w:rPr>
          <w:bCs/>
          <w:sz w:val="20"/>
          <w:szCs w:val="20"/>
        </w:rPr>
        <w:t xml:space="preserve"> and </w:t>
      </w:r>
      <w:r w:rsidR="006D3185">
        <w:rPr>
          <w:bCs/>
          <w:sz w:val="20"/>
          <w:szCs w:val="20"/>
        </w:rPr>
        <w:t>there is</w:t>
      </w:r>
      <w:r w:rsidR="00F11341" w:rsidRPr="00976F31">
        <w:rPr>
          <w:bCs/>
          <w:sz w:val="20"/>
          <w:szCs w:val="20"/>
        </w:rPr>
        <w:t xml:space="preserve"> </w:t>
      </w:r>
      <w:r w:rsidR="009F1A3F" w:rsidRPr="00976F31">
        <w:rPr>
          <w:bCs/>
          <w:sz w:val="20"/>
          <w:szCs w:val="20"/>
        </w:rPr>
        <w:t xml:space="preserve">often </w:t>
      </w:r>
      <w:r w:rsidR="00F11341" w:rsidRPr="00976F31">
        <w:rPr>
          <w:bCs/>
          <w:sz w:val="20"/>
          <w:szCs w:val="20"/>
        </w:rPr>
        <w:t xml:space="preserve">limited information </w:t>
      </w:r>
      <w:r w:rsidR="00453668" w:rsidRPr="00976F31">
        <w:rPr>
          <w:bCs/>
          <w:sz w:val="20"/>
          <w:szCs w:val="20"/>
        </w:rPr>
        <w:t xml:space="preserve">on </w:t>
      </w:r>
      <w:r w:rsidR="00695822" w:rsidRPr="00976F31">
        <w:rPr>
          <w:bCs/>
          <w:sz w:val="20"/>
          <w:szCs w:val="20"/>
        </w:rPr>
        <w:t>epidemiology</w:t>
      </w:r>
      <w:r w:rsidR="00F11341" w:rsidRPr="00976F31">
        <w:rPr>
          <w:bCs/>
          <w:sz w:val="20"/>
          <w:szCs w:val="20"/>
        </w:rPr>
        <w:t xml:space="preserve"> and </w:t>
      </w:r>
      <w:r w:rsidR="005B2D3F" w:rsidRPr="00976F31">
        <w:rPr>
          <w:bCs/>
          <w:sz w:val="20"/>
          <w:szCs w:val="20"/>
        </w:rPr>
        <w:t xml:space="preserve">disease </w:t>
      </w:r>
      <w:r w:rsidR="00F11341" w:rsidRPr="00976F31">
        <w:rPr>
          <w:bCs/>
          <w:sz w:val="20"/>
          <w:szCs w:val="20"/>
        </w:rPr>
        <w:t xml:space="preserve">mechanisms of the condition being investigated. </w:t>
      </w:r>
    </w:p>
    <w:p w14:paraId="7FC77127" w14:textId="1468B590" w:rsidR="008A3D64" w:rsidRPr="00976F31" w:rsidRDefault="00530C9C" w:rsidP="00FD4F86">
      <w:pPr>
        <w:spacing w:after="0" w:line="360" w:lineRule="auto"/>
        <w:jc w:val="both"/>
        <w:rPr>
          <w:rFonts w:cs="EUAlbertina"/>
          <w:sz w:val="20"/>
          <w:szCs w:val="20"/>
        </w:rPr>
      </w:pPr>
      <w:r w:rsidRPr="00976F31">
        <w:rPr>
          <w:rFonts w:cs="EUAlbertina"/>
          <w:sz w:val="20"/>
          <w:szCs w:val="20"/>
        </w:rPr>
        <w:t>Acknowledging these challenges, a number of countries have developed orphan legislation to foster rare disease drug development.</w:t>
      </w:r>
      <w:r w:rsidR="001F37B2">
        <w:rPr>
          <w:rFonts w:cs="EUAlbertina"/>
          <w:sz w:val="20"/>
          <w:szCs w:val="20"/>
        </w:rPr>
        <w:t xml:space="preserve"> For example, t</w:t>
      </w:r>
      <w:r w:rsidR="00426025" w:rsidRPr="00976F31">
        <w:rPr>
          <w:rFonts w:cs="EUAlbertina"/>
          <w:sz w:val="20"/>
          <w:szCs w:val="20"/>
        </w:rPr>
        <w:t>he European Union implemented a</w:t>
      </w:r>
      <w:r w:rsidRPr="00976F31">
        <w:rPr>
          <w:rFonts w:cs="EUAlbertina"/>
          <w:sz w:val="20"/>
          <w:szCs w:val="20"/>
        </w:rPr>
        <w:t>n</w:t>
      </w:r>
      <w:r w:rsidR="00426025" w:rsidRPr="00976F31">
        <w:rPr>
          <w:rFonts w:cs="EUAlbertina"/>
          <w:sz w:val="20"/>
          <w:szCs w:val="20"/>
        </w:rPr>
        <w:t xml:space="preserve"> EU </w:t>
      </w:r>
      <w:r w:rsidR="001F37B2">
        <w:rPr>
          <w:rFonts w:cs="EUAlbertina"/>
          <w:sz w:val="20"/>
          <w:szCs w:val="20"/>
        </w:rPr>
        <w:t>R</w:t>
      </w:r>
      <w:r w:rsidRPr="00976F31">
        <w:rPr>
          <w:rFonts w:cs="EUAlbertina"/>
          <w:sz w:val="20"/>
          <w:szCs w:val="20"/>
        </w:rPr>
        <w:t xml:space="preserve">egulation </w:t>
      </w:r>
      <w:r w:rsidR="00426025" w:rsidRPr="00976F31">
        <w:rPr>
          <w:rFonts w:cs="EUAlbertina"/>
          <w:sz w:val="20"/>
          <w:szCs w:val="20"/>
        </w:rPr>
        <w:t xml:space="preserve">on </w:t>
      </w:r>
      <w:r w:rsidR="001F37B2">
        <w:rPr>
          <w:rFonts w:cs="EUAlbertina"/>
          <w:sz w:val="20"/>
          <w:szCs w:val="20"/>
        </w:rPr>
        <w:t>O</w:t>
      </w:r>
      <w:r w:rsidR="00426025" w:rsidRPr="00976F31">
        <w:rPr>
          <w:rFonts w:cs="EUAlbertina"/>
          <w:sz w:val="20"/>
          <w:szCs w:val="20"/>
        </w:rPr>
        <w:t xml:space="preserve">rphan </w:t>
      </w:r>
      <w:r w:rsidR="001F37B2">
        <w:rPr>
          <w:rFonts w:cs="EUAlbertina"/>
          <w:sz w:val="20"/>
          <w:szCs w:val="20"/>
        </w:rPr>
        <w:t>M</w:t>
      </w:r>
      <w:r w:rsidR="001F37B2" w:rsidRPr="00976F31">
        <w:rPr>
          <w:rFonts w:cs="EUAlbertina"/>
          <w:sz w:val="20"/>
          <w:szCs w:val="20"/>
        </w:rPr>
        <w:t xml:space="preserve">edicinal </w:t>
      </w:r>
      <w:r w:rsidR="001F37B2">
        <w:rPr>
          <w:rFonts w:cs="EUAlbertina"/>
          <w:sz w:val="20"/>
          <w:szCs w:val="20"/>
        </w:rPr>
        <w:t>P</w:t>
      </w:r>
      <w:r w:rsidR="001F37B2" w:rsidRPr="00976F31">
        <w:rPr>
          <w:rFonts w:cs="EUAlbertina"/>
          <w:sz w:val="20"/>
          <w:szCs w:val="20"/>
        </w:rPr>
        <w:t xml:space="preserve">roducts </w:t>
      </w:r>
      <w:r w:rsidR="00426025" w:rsidRPr="00976F31">
        <w:rPr>
          <w:rFonts w:cs="EUAlbertina"/>
          <w:sz w:val="20"/>
          <w:szCs w:val="20"/>
        </w:rPr>
        <w:t xml:space="preserve">in </w:t>
      </w:r>
      <w:r w:rsidR="00FA3FA1" w:rsidRPr="00976F31">
        <w:rPr>
          <w:rFonts w:cs="EUAlbertina"/>
          <w:sz w:val="20"/>
          <w:szCs w:val="20"/>
        </w:rPr>
        <w:t>2000</w:t>
      </w:r>
      <w:r w:rsidR="00426025" w:rsidRPr="00976F31">
        <w:rPr>
          <w:rFonts w:cs="EUAlbertina"/>
          <w:sz w:val="20"/>
          <w:szCs w:val="20"/>
        </w:rPr>
        <w:t xml:space="preserve">, after similar policy developments </w:t>
      </w:r>
      <w:r w:rsidR="00AE0B66" w:rsidRPr="00976F31">
        <w:rPr>
          <w:rFonts w:cs="EUAlbertina"/>
          <w:sz w:val="20"/>
          <w:szCs w:val="20"/>
        </w:rPr>
        <w:t xml:space="preserve">had been </w:t>
      </w:r>
      <w:r w:rsidR="00426025" w:rsidRPr="00976F31">
        <w:rPr>
          <w:rFonts w:cs="EUAlbertina"/>
          <w:sz w:val="20"/>
          <w:szCs w:val="20"/>
        </w:rPr>
        <w:t xml:space="preserve">adopted by the </w:t>
      </w:r>
      <w:r w:rsidR="0022213D" w:rsidRPr="00976F31">
        <w:rPr>
          <w:rFonts w:cs="EUAlbertina"/>
          <w:sz w:val="20"/>
          <w:szCs w:val="20"/>
        </w:rPr>
        <w:t>Unites States (</w:t>
      </w:r>
      <w:r w:rsidR="00426025" w:rsidRPr="00976F31">
        <w:rPr>
          <w:rFonts w:cs="EUAlbertina"/>
          <w:sz w:val="20"/>
          <w:szCs w:val="20"/>
        </w:rPr>
        <w:t>US</w:t>
      </w:r>
      <w:r w:rsidR="0022213D" w:rsidRPr="00976F31">
        <w:rPr>
          <w:rFonts w:cs="EUAlbertina"/>
          <w:sz w:val="20"/>
          <w:szCs w:val="20"/>
        </w:rPr>
        <w:t>)</w:t>
      </w:r>
      <w:r w:rsidR="00116EF4" w:rsidRPr="00976F31">
        <w:rPr>
          <w:rFonts w:cs="EUAlbertina"/>
          <w:sz w:val="20"/>
          <w:szCs w:val="20"/>
        </w:rPr>
        <w:t>,</w:t>
      </w:r>
      <w:r w:rsidR="00426025" w:rsidRPr="00976F31">
        <w:rPr>
          <w:rFonts w:cs="EUAlbertina"/>
          <w:sz w:val="20"/>
          <w:szCs w:val="20"/>
        </w:rPr>
        <w:t xml:space="preserve"> Singapore, </w:t>
      </w:r>
      <w:r w:rsidR="002778B5" w:rsidRPr="00976F31">
        <w:rPr>
          <w:rFonts w:cs="EUAlbertina"/>
          <w:sz w:val="20"/>
          <w:szCs w:val="20"/>
        </w:rPr>
        <w:t xml:space="preserve">Japan, Taiwan, </w:t>
      </w:r>
      <w:r w:rsidR="00426025" w:rsidRPr="00976F31">
        <w:rPr>
          <w:rFonts w:cs="EUAlbertina"/>
          <w:sz w:val="20"/>
          <w:szCs w:val="20"/>
        </w:rPr>
        <w:t>Australia</w:t>
      </w:r>
      <w:r w:rsidR="00AC2366" w:rsidRPr="00976F31">
        <w:rPr>
          <w:rFonts w:cs="EUAlbertina"/>
          <w:sz w:val="20"/>
          <w:szCs w:val="20"/>
        </w:rPr>
        <w:t>,</w:t>
      </w:r>
      <w:r w:rsidR="00426025" w:rsidRPr="00976F31">
        <w:rPr>
          <w:rFonts w:cs="EUAlbertina"/>
          <w:sz w:val="20"/>
          <w:szCs w:val="20"/>
        </w:rPr>
        <w:t xml:space="preserve"> Korea</w:t>
      </w:r>
      <w:r w:rsidR="002778B5" w:rsidRPr="00976F31">
        <w:rPr>
          <w:rFonts w:cs="EUAlbertina"/>
          <w:sz w:val="20"/>
          <w:szCs w:val="20"/>
        </w:rPr>
        <w:t xml:space="preserve"> and Taiwan</w:t>
      </w:r>
      <w:r w:rsidR="00426025" w:rsidRPr="00976F31">
        <w:rPr>
          <w:rFonts w:cs="EUAlbertina"/>
          <w:sz w:val="20"/>
          <w:szCs w:val="20"/>
        </w:rPr>
        <w:t>.</w:t>
      </w:r>
      <w:r w:rsidR="00BC1F6F" w:rsidRPr="00976F31">
        <w:rPr>
          <w:rFonts w:cs="EUAlbertina"/>
          <w:sz w:val="20"/>
          <w:szCs w:val="20"/>
        </w:rPr>
        <w:t xml:space="preserve"> </w:t>
      </w:r>
      <w:r w:rsidR="008A3D64" w:rsidRPr="00976F31">
        <w:rPr>
          <w:rFonts w:cs="EUAlbertina"/>
          <w:sz w:val="20"/>
          <w:szCs w:val="20"/>
        </w:rPr>
        <w:t xml:space="preserve">Following </w:t>
      </w:r>
      <w:r w:rsidR="00331391" w:rsidRPr="00976F31">
        <w:rPr>
          <w:rFonts w:cs="EUAlbertina"/>
          <w:sz w:val="20"/>
          <w:szCs w:val="20"/>
        </w:rPr>
        <w:t xml:space="preserve">the </w:t>
      </w:r>
      <w:r w:rsidR="008A3D64" w:rsidRPr="00976F31">
        <w:rPr>
          <w:rFonts w:cs="EUAlbertina"/>
          <w:sz w:val="20"/>
          <w:szCs w:val="20"/>
        </w:rPr>
        <w:t xml:space="preserve">enactment of appropriate regulatory and incentive frameworks for orphan drugs, the availability of safe and effective orphan medicines has increased </w:t>
      </w:r>
      <w:r w:rsidR="00291249" w:rsidRPr="00976F31">
        <w:rPr>
          <w:rFonts w:cs="EUAlbertina"/>
          <w:sz w:val="20"/>
          <w:szCs w:val="20"/>
        </w:rPr>
        <w:t>significantly.</w:t>
      </w:r>
      <w:r w:rsidR="00C742F5" w:rsidRPr="00976F31">
        <w:rPr>
          <w:rFonts w:cs="EUAlbertina"/>
          <w:sz w:val="20"/>
          <w:szCs w:val="20"/>
        </w:rPr>
        <w:t xml:space="preserve"> </w:t>
      </w:r>
      <w:r w:rsidR="008A3D64" w:rsidRPr="00976F31">
        <w:rPr>
          <w:rFonts w:cs="EUAlbertina"/>
          <w:sz w:val="20"/>
          <w:szCs w:val="20"/>
        </w:rPr>
        <w:t xml:space="preserve">Looking at </w:t>
      </w:r>
      <w:r w:rsidR="00746961" w:rsidRPr="00976F31">
        <w:rPr>
          <w:rFonts w:cs="EUAlbertina"/>
          <w:sz w:val="20"/>
          <w:szCs w:val="20"/>
        </w:rPr>
        <w:t>official statistics</w:t>
      </w:r>
      <w:r w:rsidR="008A3D64" w:rsidRPr="00976F31">
        <w:rPr>
          <w:rFonts w:cs="EUAlbertina"/>
          <w:sz w:val="20"/>
          <w:szCs w:val="20"/>
        </w:rPr>
        <w:t>, orphan drug schemes in the EU and US have led to sustained and increased numbers of designations</w:t>
      </w:r>
      <w:r w:rsidR="00116EF4" w:rsidRPr="00976F31">
        <w:rPr>
          <w:rFonts w:cs="EUAlbertina"/>
          <w:sz w:val="20"/>
          <w:szCs w:val="20"/>
        </w:rPr>
        <w:t>,</w:t>
      </w:r>
      <w:r w:rsidR="008A3D64" w:rsidRPr="00976F31">
        <w:rPr>
          <w:rFonts w:cs="EUAlbertina"/>
          <w:sz w:val="20"/>
          <w:szCs w:val="20"/>
        </w:rPr>
        <w:t xml:space="preserve"> clinical trials, and, the approval of new products: </w:t>
      </w:r>
    </w:p>
    <w:p w14:paraId="1C397428" w14:textId="02920AA1" w:rsidR="002778B5" w:rsidRPr="00BE0B5A" w:rsidRDefault="002778B5" w:rsidP="00FD4F86">
      <w:pPr>
        <w:pStyle w:val="ListParagraph"/>
        <w:numPr>
          <w:ilvl w:val="0"/>
          <w:numId w:val="2"/>
        </w:numPr>
        <w:spacing w:after="0" w:line="360" w:lineRule="auto"/>
        <w:jc w:val="both"/>
        <w:rPr>
          <w:rFonts w:cs="EUAlbertina"/>
          <w:sz w:val="20"/>
          <w:szCs w:val="20"/>
        </w:rPr>
      </w:pPr>
      <w:r w:rsidRPr="00976F31">
        <w:rPr>
          <w:rFonts w:cs="EUAlbertina"/>
          <w:sz w:val="20"/>
          <w:szCs w:val="20"/>
        </w:rPr>
        <w:t xml:space="preserve">The number of orphan drug designations has grown </w:t>
      </w:r>
      <w:r w:rsidR="006D3185">
        <w:rPr>
          <w:rFonts w:cs="EUAlbertina"/>
          <w:sz w:val="20"/>
          <w:szCs w:val="20"/>
        </w:rPr>
        <w:t>substantially</w:t>
      </w:r>
      <w:r w:rsidR="006D3185" w:rsidRPr="00976F31">
        <w:rPr>
          <w:rFonts w:cs="EUAlbertina"/>
          <w:sz w:val="20"/>
          <w:szCs w:val="20"/>
        </w:rPr>
        <w:t xml:space="preserve"> </w:t>
      </w:r>
      <w:r w:rsidRPr="00976F31">
        <w:rPr>
          <w:rFonts w:cs="EUAlbertina"/>
          <w:sz w:val="20"/>
          <w:szCs w:val="20"/>
        </w:rPr>
        <w:t xml:space="preserve">with 4663 in </w:t>
      </w:r>
      <w:r w:rsidR="009F1A3F" w:rsidRPr="00BE0B5A">
        <w:rPr>
          <w:rFonts w:cs="EUAlbertina"/>
          <w:sz w:val="20"/>
          <w:szCs w:val="20"/>
        </w:rPr>
        <w:t xml:space="preserve">the </w:t>
      </w:r>
      <w:r w:rsidRPr="00BE0B5A">
        <w:rPr>
          <w:rFonts w:cs="EUAlbertina"/>
          <w:sz w:val="20"/>
          <w:szCs w:val="20"/>
        </w:rPr>
        <w:t>US from 1983-2018</w:t>
      </w:r>
      <w:r w:rsidR="00197485" w:rsidRPr="00BE0B5A">
        <w:rPr>
          <w:rStyle w:val="EndnoteReference"/>
          <w:rFonts w:cs="EUAlbertina"/>
          <w:szCs w:val="20"/>
        </w:rPr>
        <w:endnoteReference w:id="2"/>
      </w:r>
      <w:r w:rsidRPr="00BE0B5A">
        <w:rPr>
          <w:rFonts w:cs="EUAlbertina"/>
          <w:sz w:val="20"/>
          <w:szCs w:val="20"/>
        </w:rPr>
        <w:t xml:space="preserve">, </w:t>
      </w:r>
      <w:r w:rsidR="00761083" w:rsidRPr="00BE0B5A">
        <w:rPr>
          <w:rFonts w:cs="EUAlbertina"/>
          <w:sz w:val="20"/>
          <w:szCs w:val="20"/>
        </w:rPr>
        <w:t>1952</w:t>
      </w:r>
      <w:r w:rsidRPr="00BE0B5A">
        <w:rPr>
          <w:rFonts w:cs="EUAlbertina"/>
          <w:sz w:val="20"/>
          <w:szCs w:val="20"/>
        </w:rPr>
        <w:t xml:space="preserve"> in </w:t>
      </w:r>
      <w:r w:rsidR="009F1A3F" w:rsidRPr="00BE0B5A">
        <w:rPr>
          <w:rFonts w:cs="EUAlbertina"/>
          <w:sz w:val="20"/>
          <w:szCs w:val="20"/>
        </w:rPr>
        <w:t xml:space="preserve">the </w:t>
      </w:r>
      <w:r w:rsidRPr="00BE0B5A">
        <w:rPr>
          <w:rFonts w:cs="EUAlbertina"/>
          <w:sz w:val="20"/>
          <w:szCs w:val="20"/>
        </w:rPr>
        <w:t xml:space="preserve">EU </w:t>
      </w:r>
      <w:r w:rsidR="00761083" w:rsidRPr="00BE0B5A">
        <w:rPr>
          <w:rFonts w:cs="EUAlbertina"/>
          <w:sz w:val="20"/>
          <w:szCs w:val="20"/>
        </w:rPr>
        <w:t>from 2000-2017</w:t>
      </w:r>
      <w:bookmarkStart w:id="1" w:name="_Ref531249806"/>
      <w:r w:rsidR="00197485" w:rsidRPr="00BE0B5A">
        <w:rPr>
          <w:rStyle w:val="EndnoteReference"/>
          <w:rFonts w:cs="EUAlbertina"/>
          <w:szCs w:val="20"/>
        </w:rPr>
        <w:endnoteReference w:id="3"/>
      </w:r>
      <w:bookmarkEnd w:id="1"/>
      <w:r w:rsidR="00AC2366" w:rsidRPr="00BE0B5A">
        <w:rPr>
          <w:rFonts w:cs="EUAlbertina"/>
          <w:sz w:val="20"/>
          <w:szCs w:val="20"/>
        </w:rPr>
        <w:t xml:space="preserve">, </w:t>
      </w:r>
      <w:r w:rsidRPr="00BE0B5A">
        <w:rPr>
          <w:rFonts w:cs="EUAlbertina"/>
          <w:sz w:val="20"/>
          <w:szCs w:val="20"/>
        </w:rPr>
        <w:t xml:space="preserve">and 373 in Japan </w:t>
      </w:r>
      <w:r w:rsidR="00761083" w:rsidRPr="00BE0B5A">
        <w:rPr>
          <w:rFonts w:cs="EUAlbertina"/>
          <w:sz w:val="20"/>
          <w:szCs w:val="20"/>
        </w:rPr>
        <w:t>from 1993-</w:t>
      </w:r>
      <w:r w:rsidRPr="00BE0B5A">
        <w:rPr>
          <w:rFonts w:cs="EUAlbertina"/>
          <w:sz w:val="20"/>
          <w:szCs w:val="20"/>
        </w:rPr>
        <w:t>2015</w:t>
      </w:r>
      <w:r w:rsidR="00197485" w:rsidRPr="00BE0B5A">
        <w:rPr>
          <w:rStyle w:val="EndnoteReference"/>
          <w:rFonts w:cs="EUAlbertina"/>
          <w:szCs w:val="20"/>
        </w:rPr>
        <w:endnoteReference w:id="4"/>
      </w:r>
    </w:p>
    <w:p w14:paraId="6329EECE" w14:textId="7AF27591" w:rsidR="006D4B61" w:rsidRPr="00976F31" w:rsidRDefault="00F24F46" w:rsidP="00FD4F86">
      <w:pPr>
        <w:pStyle w:val="ListParagraph"/>
        <w:numPr>
          <w:ilvl w:val="0"/>
          <w:numId w:val="2"/>
        </w:numPr>
        <w:spacing w:after="0" w:line="360" w:lineRule="auto"/>
        <w:jc w:val="both"/>
        <w:rPr>
          <w:rFonts w:cs="EUAlbertina"/>
          <w:sz w:val="20"/>
          <w:szCs w:val="20"/>
        </w:rPr>
      </w:pPr>
      <w:r w:rsidRPr="00BE0B5A">
        <w:rPr>
          <w:rFonts w:cs="EUAlbertina"/>
          <w:sz w:val="20"/>
          <w:szCs w:val="20"/>
        </w:rPr>
        <w:t xml:space="preserve">In the US, according to one estimate, only </w:t>
      </w:r>
      <w:r w:rsidR="006D4B61" w:rsidRPr="00BE0B5A">
        <w:rPr>
          <w:rFonts w:cs="EUAlbertina"/>
          <w:sz w:val="20"/>
          <w:szCs w:val="20"/>
        </w:rPr>
        <w:t xml:space="preserve">34 products </w:t>
      </w:r>
      <w:r w:rsidRPr="00BE0B5A">
        <w:rPr>
          <w:rFonts w:cs="EUAlbertina"/>
          <w:sz w:val="20"/>
          <w:szCs w:val="20"/>
        </w:rPr>
        <w:t>were brought to market fro</w:t>
      </w:r>
      <w:r w:rsidRPr="00976F31">
        <w:rPr>
          <w:rFonts w:cs="EUAlbertina"/>
          <w:sz w:val="20"/>
          <w:szCs w:val="20"/>
        </w:rPr>
        <w:t>m 1967-1983 that meet criteria for an orphan drug</w:t>
      </w:r>
      <w:r w:rsidR="001F37B2">
        <w:rPr>
          <w:rFonts w:cs="EUAlbertina"/>
          <w:sz w:val="20"/>
          <w:szCs w:val="20"/>
        </w:rPr>
        <w:t>.</w:t>
      </w:r>
      <w:r w:rsidRPr="00976F31">
        <w:rPr>
          <w:rFonts w:cs="EUAlbertina"/>
          <w:sz w:val="20"/>
          <w:szCs w:val="20"/>
        </w:rPr>
        <w:t xml:space="preserve"> </w:t>
      </w:r>
      <w:r w:rsidR="001F37B2">
        <w:rPr>
          <w:rFonts w:cs="EUAlbertina"/>
          <w:sz w:val="20"/>
          <w:szCs w:val="20"/>
        </w:rPr>
        <w:t>A</w:t>
      </w:r>
      <w:r w:rsidR="00AC2366" w:rsidRPr="00976F31">
        <w:rPr>
          <w:rFonts w:cs="EUAlbertina"/>
          <w:sz w:val="20"/>
          <w:szCs w:val="20"/>
        </w:rPr>
        <w:t>n</w:t>
      </w:r>
      <w:r w:rsidRPr="00976F31">
        <w:rPr>
          <w:rFonts w:cs="EUAlbertina"/>
          <w:sz w:val="20"/>
          <w:szCs w:val="20"/>
        </w:rPr>
        <w:t xml:space="preserve">other </w:t>
      </w:r>
      <w:r w:rsidR="009F1A3F" w:rsidRPr="00976F31">
        <w:rPr>
          <w:rFonts w:cs="EUAlbertina"/>
          <w:sz w:val="20"/>
          <w:szCs w:val="20"/>
        </w:rPr>
        <w:t xml:space="preserve">estimate </w:t>
      </w:r>
      <w:r w:rsidRPr="00976F31">
        <w:rPr>
          <w:rFonts w:cs="EUAlbertina"/>
          <w:sz w:val="20"/>
          <w:szCs w:val="20"/>
        </w:rPr>
        <w:t>indicates that</w:t>
      </w:r>
      <w:r w:rsidR="006D4B61" w:rsidRPr="00976F31">
        <w:rPr>
          <w:rFonts w:cs="EUAlbertina"/>
          <w:sz w:val="20"/>
          <w:szCs w:val="20"/>
        </w:rPr>
        <w:t xml:space="preserve"> industry brought only 10 products to </w:t>
      </w:r>
      <w:r w:rsidR="006D4B61" w:rsidRPr="00976F31">
        <w:rPr>
          <w:rFonts w:cs="EUAlbertina"/>
          <w:sz w:val="20"/>
          <w:szCs w:val="20"/>
        </w:rPr>
        <w:lastRenderedPageBreak/>
        <w:t>market</w:t>
      </w:r>
      <w:r w:rsidRPr="00976F31">
        <w:rPr>
          <w:rFonts w:cs="EUAlbertina"/>
          <w:sz w:val="20"/>
          <w:szCs w:val="20"/>
        </w:rPr>
        <w:t xml:space="preserve"> in the decade prior to 1983</w:t>
      </w:r>
      <w:r w:rsidR="00197485" w:rsidRPr="00AD3E9F">
        <w:rPr>
          <w:rStyle w:val="EndnoteReference"/>
          <w:rFonts w:cs="EUAlbertina"/>
          <w:szCs w:val="20"/>
        </w:rPr>
        <w:endnoteReference w:id="5"/>
      </w:r>
      <w:r w:rsidR="00AD3E9F" w:rsidRPr="00AD3E9F">
        <w:rPr>
          <w:rFonts w:cs="EUAlbertina"/>
          <w:sz w:val="20"/>
          <w:szCs w:val="20"/>
          <w:vertAlign w:val="superscript"/>
        </w:rPr>
        <w:t>,</w:t>
      </w:r>
      <w:r w:rsidR="00197485">
        <w:rPr>
          <w:rStyle w:val="EndnoteReference"/>
          <w:rFonts w:cs="EUAlbertina"/>
          <w:szCs w:val="20"/>
        </w:rPr>
        <w:endnoteReference w:id="6"/>
      </w:r>
      <w:r w:rsidR="009F1A3F" w:rsidRPr="00976F31">
        <w:rPr>
          <w:rFonts w:cs="EUAlbertina"/>
          <w:sz w:val="20"/>
          <w:szCs w:val="20"/>
        </w:rPr>
        <w:t xml:space="preserve">. </w:t>
      </w:r>
      <w:r w:rsidR="006D4B61" w:rsidRPr="00976F31">
        <w:rPr>
          <w:rFonts w:cs="EUAlbertina"/>
          <w:sz w:val="20"/>
          <w:szCs w:val="20"/>
        </w:rPr>
        <w:t>Following enactment of the Orphan Drug Act (ODA)</w:t>
      </w:r>
      <w:r w:rsidR="00644058" w:rsidRPr="00976F31">
        <w:rPr>
          <w:rFonts w:cs="EUAlbertina"/>
          <w:sz w:val="20"/>
          <w:szCs w:val="20"/>
        </w:rPr>
        <w:t>,</w:t>
      </w:r>
      <w:r w:rsidR="006D4B61" w:rsidRPr="00976F31">
        <w:rPr>
          <w:rFonts w:cs="EUAlbertina"/>
          <w:sz w:val="20"/>
          <w:szCs w:val="20"/>
        </w:rPr>
        <w:t xml:space="preserve"> there are </w:t>
      </w:r>
      <w:r w:rsidR="00644058" w:rsidRPr="00976F31">
        <w:rPr>
          <w:rFonts w:cs="EUAlbertina"/>
          <w:sz w:val="20"/>
          <w:szCs w:val="20"/>
        </w:rPr>
        <w:t xml:space="preserve">currently </w:t>
      </w:r>
      <w:r w:rsidR="006D4B61" w:rsidRPr="00976F31">
        <w:rPr>
          <w:rFonts w:cs="EUAlbertina"/>
          <w:sz w:val="20"/>
          <w:szCs w:val="20"/>
        </w:rPr>
        <w:t xml:space="preserve">over 600 </w:t>
      </w:r>
      <w:r w:rsidR="00855E38" w:rsidRPr="00976F31">
        <w:rPr>
          <w:rFonts w:cs="EUAlbertina"/>
          <w:sz w:val="20"/>
          <w:szCs w:val="20"/>
        </w:rPr>
        <w:t xml:space="preserve">rare disease </w:t>
      </w:r>
      <w:r w:rsidR="006D4B61" w:rsidRPr="00976F31">
        <w:rPr>
          <w:rFonts w:cs="EUAlbertina"/>
          <w:sz w:val="20"/>
          <w:szCs w:val="20"/>
        </w:rPr>
        <w:t>indications ap</w:t>
      </w:r>
      <w:r w:rsidR="00A562C5" w:rsidRPr="00976F31">
        <w:rPr>
          <w:rFonts w:cs="EUAlbertina"/>
          <w:sz w:val="20"/>
          <w:szCs w:val="20"/>
        </w:rPr>
        <w:t xml:space="preserve">proved from over 450 different </w:t>
      </w:r>
      <w:r w:rsidR="00855E38" w:rsidRPr="00976F31">
        <w:rPr>
          <w:rFonts w:cs="EUAlbertina"/>
          <w:sz w:val="20"/>
          <w:szCs w:val="20"/>
        </w:rPr>
        <w:t xml:space="preserve">orphan </w:t>
      </w:r>
      <w:r w:rsidR="00A562C5" w:rsidRPr="00976F31">
        <w:rPr>
          <w:rFonts w:cs="EUAlbertina"/>
          <w:sz w:val="20"/>
          <w:szCs w:val="20"/>
        </w:rPr>
        <w:t>drug products.</w:t>
      </w:r>
    </w:p>
    <w:p w14:paraId="52962901" w14:textId="284993D2" w:rsidR="00761083" w:rsidRPr="00976F31" w:rsidRDefault="00761083" w:rsidP="00FD4F86">
      <w:pPr>
        <w:pStyle w:val="ListParagraph"/>
        <w:numPr>
          <w:ilvl w:val="0"/>
          <w:numId w:val="2"/>
        </w:numPr>
        <w:spacing w:after="0" w:line="360" w:lineRule="auto"/>
        <w:jc w:val="both"/>
        <w:rPr>
          <w:rFonts w:cs="EUAlbertina"/>
          <w:sz w:val="20"/>
          <w:szCs w:val="20"/>
        </w:rPr>
      </w:pPr>
      <w:r w:rsidRPr="00976F31">
        <w:rPr>
          <w:rFonts w:cs="EUAlbertina"/>
          <w:sz w:val="20"/>
          <w:szCs w:val="20"/>
        </w:rPr>
        <w:t xml:space="preserve">EU designations have resulted in </w:t>
      </w:r>
      <w:r>
        <w:rPr>
          <w:rFonts w:cs="EUAlbertina"/>
          <w:sz w:val="20"/>
          <w:szCs w:val="20"/>
        </w:rPr>
        <w:t>142</w:t>
      </w:r>
      <w:r w:rsidRPr="00976F31">
        <w:rPr>
          <w:rFonts w:cs="EUAlbertina"/>
          <w:sz w:val="20"/>
          <w:szCs w:val="20"/>
        </w:rPr>
        <w:t xml:space="preserve"> authorized orphan drugs </w:t>
      </w:r>
      <w:r>
        <w:rPr>
          <w:rFonts w:cs="EUAlbertina"/>
          <w:sz w:val="20"/>
          <w:szCs w:val="20"/>
        </w:rPr>
        <w:t xml:space="preserve">and 20 </w:t>
      </w:r>
      <w:r w:rsidR="0050205B">
        <w:rPr>
          <w:rFonts w:cs="EUAlbertina"/>
          <w:sz w:val="20"/>
          <w:szCs w:val="20"/>
        </w:rPr>
        <w:t>extensions</w:t>
      </w:r>
      <w:r>
        <w:rPr>
          <w:rFonts w:cs="EUAlbertina"/>
          <w:sz w:val="20"/>
          <w:szCs w:val="20"/>
        </w:rPr>
        <w:t xml:space="preserve"> of</w:t>
      </w:r>
      <w:r w:rsidRPr="00976F31">
        <w:rPr>
          <w:rFonts w:cs="EUAlbertina"/>
          <w:sz w:val="20"/>
          <w:szCs w:val="20"/>
        </w:rPr>
        <w:t xml:space="preserve"> indications</w:t>
      </w:r>
      <w:r>
        <w:rPr>
          <w:rFonts w:cs="EUAlbertina"/>
          <w:sz w:val="20"/>
          <w:szCs w:val="20"/>
        </w:rPr>
        <w:t>.</w:t>
      </w:r>
      <w:r w:rsidR="00BE0B5A" w:rsidRPr="00BE0B5A">
        <w:rPr>
          <w:rFonts w:cs="EUAlbertina"/>
          <w:sz w:val="20"/>
          <w:szCs w:val="20"/>
          <w:highlight w:val="yellow"/>
          <w:vertAlign w:val="superscript"/>
        </w:rPr>
        <w:fldChar w:fldCharType="begin"/>
      </w:r>
      <w:r w:rsidR="00BE0B5A" w:rsidRPr="00BE0B5A">
        <w:rPr>
          <w:rFonts w:cs="EUAlbertina"/>
          <w:sz w:val="20"/>
          <w:szCs w:val="20"/>
          <w:vertAlign w:val="superscript"/>
        </w:rPr>
        <w:instrText xml:space="preserve"> NOTEREF _Ref531249806 \h </w:instrText>
      </w:r>
      <w:r w:rsidR="00BE0B5A">
        <w:rPr>
          <w:rFonts w:cs="EUAlbertina"/>
          <w:sz w:val="20"/>
          <w:szCs w:val="20"/>
          <w:highlight w:val="yellow"/>
          <w:vertAlign w:val="superscript"/>
        </w:rPr>
        <w:instrText xml:space="preserve"> \* MERGEFORMAT </w:instrText>
      </w:r>
      <w:r w:rsidR="00BE0B5A" w:rsidRPr="00BE0B5A">
        <w:rPr>
          <w:rFonts w:cs="EUAlbertina"/>
          <w:sz w:val="20"/>
          <w:szCs w:val="20"/>
          <w:highlight w:val="yellow"/>
          <w:vertAlign w:val="superscript"/>
        </w:rPr>
      </w:r>
      <w:r w:rsidR="00BE0B5A" w:rsidRPr="00BE0B5A">
        <w:rPr>
          <w:rFonts w:cs="EUAlbertina"/>
          <w:sz w:val="20"/>
          <w:szCs w:val="20"/>
          <w:highlight w:val="yellow"/>
          <w:vertAlign w:val="superscript"/>
        </w:rPr>
        <w:fldChar w:fldCharType="separate"/>
      </w:r>
      <w:r w:rsidR="00BE0B5A">
        <w:rPr>
          <w:rFonts w:cs="EUAlbertina"/>
          <w:sz w:val="20"/>
          <w:szCs w:val="20"/>
          <w:vertAlign w:val="superscript"/>
        </w:rPr>
        <w:t>2</w:t>
      </w:r>
      <w:r w:rsidR="00BE0B5A" w:rsidRPr="00BE0B5A">
        <w:rPr>
          <w:rFonts w:cs="EUAlbertina"/>
          <w:sz w:val="20"/>
          <w:szCs w:val="20"/>
          <w:highlight w:val="yellow"/>
          <w:vertAlign w:val="superscript"/>
        </w:rPr>
        <w:fldChar w:fldCharType="end"/>
      </w:r>
      <w:r w:rsidRPr="00BE0B5A">
        <w:rPr>
          <w:rFonts w:cs="EUAlbertina"/>
          <w:sz w:val="20"/>
          <w:szCs w:val="20"/>
          <w:vertAlign w:val="superscript"/>
        </w:rPr>
        <w:t xml:space="preserve"> </w:t>
      </w:r>
    </w:p>
    <w:p w14:paraId="5ABB5197" w14:textId="03B12E8E" w:rsidR="008A3D64" w:rsidRPr="00976F31" w:rsidRDefault="008A3D64" w:rsidP="00FD4F86">
      <w:pPr>
        <w:pStyle w:val="ListParagraph"/>
        <w:numPr>
          <w:ilvl w:val="0"/>
          <w:numId w:val="2"/>
        </w:numPr>
        <w:spacing w:after="0" w:line="360" w:lineRule="auto"/>
        <w:jc w:val="both"/>
        <w:rPr>
          <w:rFonts w:cs="EUAlbertina"/>
          <w:sz w:val="20"/>
          <w:szCs w:val="20"/>
        </w:rPr>
      </w:pPr>
      <w:r w:rsidRPr="00976F31">
        <w:rPr>
          <w:rFonts w:cs="EUAlbertina"/>
          <w:sz w:val="20"/>
          <w:szCs w:val="20"/>
        </w:rPr>
        <w:t>A significant and sustained increase in new clinical trials for drugs treating rare diseases ha</w:t>
      </w:r>
      <w:r w:rsidR="00453668" w:rsidRPr="00976F31">
        <w:rPr>
          <w:rFonts w:cs="EUAlbertina"/>
          <w:sz w:val="20"/>
          <w:szCs w:val="20"/>
        </w:rPr>
        <w:t>s</w:t>
      </w:r>
      <w:r w:rsidRPr="00976F31">
        <w:rPr>
          <w:rFonts w:cs="EUAlbertina"/>
          <w:sz w:val="20"/>
          <w:szCs w:val="20"/>
        </w:rPr>
        <w:t xml:space="preserve"> been registered since the introduction of orphan drugs schemes</w:t>
      </w:r>
      <w:r w:rsidR="005B724B" w:rsidRPr="00976F31">
        <w:rPr>
          <w:rFonts w:cs="EUAlbertina"/>
          <w:sz w:val="20"/>
          <w:szCs w:val="20"/>
        </w:rPr>
        <w:t>,</w:t>
      </w:r>
      <w:r w:rsidRPr="00976F31">
        <w:rPr>
          <w:rFonts w:cs="EUAlbertina"/>
          <w:sz w:val="20"/>
          <w:szCs w:val="20"/>
        </w:rPr>
        <w:t xml:space="preserve"> particularly in the EU,</w:t>
      </w:r>
      <w:r w:rsidR="006D3185">
        <w:rPr>
          <w:rFonts w:cs="EUAlbertina"/>
          <w:sz w:val="20"/>
          <w:szCs w:val="20"/>
        </w:rPr>
        <w:t xml:space="preserve"> where</w:t>
      </w:r>
      <w:r w:rsidR="00855E38" w:rsidRPr="00976F31">
        <w:rPr>
          <w:rFonts w:cs="EUAlbertina"/>
          <w:sz w:val="20"/>
          <w:szCs w:val="20"/>
        </w:rPr>
        <w:t xml:space="preserve"> the number of</w:t>
      </w:r>
      <w:r w:rsidRPr="00976F31">
        <w:rPr>
          <w:rFonts w:cs="EUAlbertina"/>
          <w:sz w:val="20"/>
          <w:szCs w:val="20"/>
        </w:rPr>
        <w:t xml:space="preserve"> orphan drug clinical trial</w:t>
      </w:r>
      <w:r w:rsidR="00AE2518" w:rsidRPr="00976F31">
        <w:rPr>
          <w:rFonts w:cs="EUAlbertina"/>
          <w:sz w:val="20"/>
          <w:szCs w:val="20"/>
        </w:rPr>
        <w:t>s grew by 84% from 2005 to 2015</w:t>
      </w:r>
      <w:r w:rsidR="001F37B2" w:rsidRPr="00FD4F86">
        <w:rPr>
          <w:rFonts w:cs="EUAlbertina"/>
          <w:sz w:val="20"/>
          <w:szCs w:val="20"/>
          <w:vertAlign w:val="superscript"/>
        </w:rPr>
        <w:t>.</w:t>
      </w:r>
      <w:r w:rsidR="00BE0B5A">
        <w:rPr>
          <w:rStyle w:val="EndnoteReference"/>
          <w:rFonts w:cs="EUAlbertina"/>
          <w:szCs w:val="20"/>
        </w:rPr>
        <w:endnoteReference w:id="7"/>
      </w:r>
    </w:p>
    <w:p w14:paraId="3481ACC2" w14:textId="150F4699" w:rsidR="008A3D64" w:rsidRPr="005247AC" w:rsidRDefault="008A3D64" w:rsidP="005247AC">
      <w:pPr>
        <w:spacing w:after="0" w:line="360" w:lineRule="auto"/>
        <w:jc w:val="both"/>
        <w:rPr>
          <w:rFonts w:cs="EUAlbertina"/>
          <w:sz w:val="20"/>
          <w:szCs w:val="20"/>
        </w:rPr>
      </w:pPr>
    </w:p>
    <w:p w14:paraId="6DCD4B77" w14:textId="77777777" w:rsidR="00C742F5" w:rsidRPr="00976F31" w:rsidRDefault="00C742F5" w:rsidP="00FA3FA1">
      <w:pPr>
        <w:spacing w:after="0" w:line="240" w:lineRule="auto"/>
        <w:ind w:left="360"/>
        <w:jc w:val="both"/>
        <w:rPr>
          <w:rFonts w:cs="EUAlbertina"/>
          <w:sz w:val="20"/>
          <w:szCs w:val="20"/>
        </w:rPr>
      </w:pPr>
    </w:p>
    <w:p w14:paraId="77D50EE3" w14:textId="59691714" w:rsidR="00F4492E" w:rsidRPr="00976F31" w:rsidRDefault="00530C9C" w:rsidP="00FD4F86">
      <w:pPr>
        <w:spacing w:after="0" w:line="360" w:lineRule="auto"/>
        <w:jc w:val="both"/>
        <w:rPr>
          <w:rFonts w:cs="EUAlbertina"/>
          <w:sz w:val="20"/>
          <w:szCs w:val="20"/>
        </w:rPr>
      </w:pPr>
      <w:r w:rsidRPr="00976F31">
        <w:rPr>
          <w:rFonts w:cs="EUAlbertina"/>
          <w:sz w:val="20"/>
          <w:szCs w:val="20"/>
        </w:rPr>
        <w:t>These data show that well developed and implemented</w:t>
      </w:r>
      <w:r w:rsidRPr="00976F31" w:rsidDel="00530C9C">
        <w:rPr>
          <w:rFonts w:cs="EUAlbertina"/>
          <w:sz w:val="20"/>
          <w:szCs w:val="20"/>
        </w:rPr>
        <w:t xml:space="preserve"> </w:t>
      </w:r>
      <w:r w:rsidR="008A3D64" w:rsidRPr="00976F31">
        <w:rPr>
          <w:rFonts w:cs="EUAlbertina"/>
          <w:sz w:val="20"/>
          <w:szCs w:val="20"/>
        </w:rPr>
        <w:t>orphan legislation</w:t>
      </w:r>
      <w:r w:rsidR="00286734" w:rsidRPr="00976F31">
        <w:rPr>
          <w:rFonts w:cs="EUAlbertina"/>
          <w:sz w:val="20"/>
          <w:szCs w:val="20"/>
        </w:rPr>
        <w:t>, and research funding</w:t>
      </w:r>
      <w:r w:rsidR="008A3D64" w:rsidRPr="00976F31">
        <w:rPr>
          <w:rFonts w:cs="EUAlbertina"/>
          <w:sz w:val="20"/>
          <w:szCs w:val="20"/>
        </w:rPr>
        <w:t xml:space="preserve"> have been very successful </w:t>
      </w:r>
      <w:r w:rsidR="00C742F5" w:rsidRPr="00976F31">
        <w:rPr>
          <w:rFonts w:cs="EUAlbertina"/>
          <w:sz w:val="20"/>
          <w:szCs w:val="20"/>
        </w:rPr>
        <w:t xml:space="preserve">in </w:t>
      </w:r>
      <w:r w:rsidRPr="00976F31">
        <w:rPr>
          <w:rFonts w:cs="EUAlbertina"/>
          <w:sz w:val="20"/>
          <w:szCs w:val="20"/>
        </w:rPr>
        <w:t xml:space="preserve">stimulating </w:t>
      </w:r>
      <w:r w:rsidR="006D3185" w:rsidRPr="00976F31">
        <w:rPr>
          <w:rFonts w:cs="EUAlbertina"/>
          <w:sz w:val="20"/>
          <w:szCs w:val="20"/>
        </w:rPr>
        <w:t xml:space="preserve">the development of national </w:t>
      </w:r>
      <w:r w:rsidR="006D3185">
        <w:rPr>
          <w:rFonts w:cs="EUAlbertina"/>
          <w:sz w:val="20"/>
          <w:szCs w:val="20"/>
        </w:rPr>
        <w:t xml:space="preserve">rare disease </w:t>
      </w:r>
      <w:r w:rsidR="006D3185" w:rsidRPr="00976F31">
        <w:rPr>
          <w:rFonts w:cs="EUAlbertina"/>
          <w:sz w:val="20"/>
          <w:szCs w:val="20"/>
        </w:rPr>
        <w:t>plans, medical knowledge and an increase in disease awareness, diagnostics and social services</w:t>
      </w:r>
      <w:r w:rsidR="006D3185">
        <w:rPr>
          <w:rFonts w:cs="EUAlbertina"/>
          <w:sz w:val="20"/>
          <w:szCs w:val="20"/>
        </w:rPr>
        <w:t xml:space="preserve"> thus </w:t>
      </w:r>
      <w:r w:rsidR="008A3D64" w:rsidRPr="00976F31">
        <w:rPr>
          <w:rFonts w:cs="EUAlbertina"/>
          <w:sz w:val="20"/>
          <w:szCs w:val="20"/>
        </w:rPr>
        <w:t xml:space="preserve">innovation </w:t>
      </w:r>
      <w:r w:rsidRPr="00976F31">
        <w:rPr>
          <w:rFonts w:cs="EUAlbertina"/>
          <w:sz w:val="20"/>
          <w:szCs w:val="20"/>
        </w:rPr>
        <w:t xml:space="preserve">by </w:t>
      </w:r>
      <w:r w:rsidR="00C742F5" w:rsidRPr="00976F31">
        <w:rPr>
          <w:rFonts w:cs="EUAlbertina"/>
          <w:sz w:val="20"/>
          <w:szCs w:val="20"/>
        </w:rPr>
        <w:t xml:space="preserve">providing </w:t>
      </w:r>
      <w:r w:rsidR="008A3D64" w:rsidRPr="00976F31">
        <w:rPr>
          <w:rFonts w:cs="EUAlbertina"/>
          <w:sz w:val="20"/>
          <w:szCs w:val="20"/>
        </w:rPr>
        <w:t>incentive</w:t>
      </w:r>
      <w:r w:rsidR="00C742F5" w:rsidRPr="00976F31">
        <w:rPr>
          <w:rFonts w:cs="EUAlbertina"/>
          <w:sz w:val="20"/>
          <w:szCs w:val="20"/>
        </w:rPr>
        <w:t>s</w:t>
      </w:r>
      <w:r w:rsidR="008A3D64" w:rsidRPr="00976F31">
        <w:rPr>
          <w:rFonts w:cs="EUAlbertina"/>
          <w:sz w:val="20"/>
          <w:szCs w:val="20"/>
        </w:rPr>
        <w:t xml:space="preserve"> </w:t>
      </w:r>
      <w:r w:rsidR="00C742F5" w:rsidRPr="00976F31">
        <w:rPr>
          <w:rFonts w:cs="EUAlbertina"/>
          <w:sz w:val="20"/>
          <w:szCs w:val="20"/>
        </w:rPr>
        <w:t xml:space="preserve">to </w:t>
      </w:r>
      <w:r w:rsidR="008A3D64" w:rsidRPr="00976F31">
        <w:rPr>
          <w:rFonts w:cs="EUAlbertina"/>
          <w:sz w:val="20"/>
          <w:szCs w:val="20"/>
        </w:rPr>
        <w:t>develop treatments for rare diseases</w:t>
      </w:r>
      <w:r w:rsidR="0024224E" w:rsidRPr="00976F31">
        <w:rPr>
          <w:rFonts w:cs="EUAlbertina"/>
          <w:sz w:val="20"/>
          <w:szCs w:val="20"/>
        </w:rPr>
        <w:t xml:space="preserve"> that are often un- or misdiagnosed</w:t>
      </w:r>
      <w:r w:rsidR="005B5EC8" w:rsidRPr="00976F31">
        <w:rPr>
          <w:rFonts w:cs="EUAlbertina"/>
          <w:sz w:val="20"/>
          <w:szCs w:val="20"/>
        </w:rPr>
        <w:t>.</w:t>
      </w:r>
      <w:r w:rsidR="00F11341" w:rsidRPr="00976F31">
        <w:rPr>
          <w:rFonts w:cs="EUAlbertina"/>
          <w:sz w:val="20"/>
          <w:szCs w:val="20"/>
        </w:rPr>
        <w:t xml:space="preserve"> </w:t>
      </w:r>
      <w:r w:rsidR="007F35E1" w:rsidRPr="00976F31">
        <w:rPr>
          <w:rFonts w:cs="EUAlbertina"/>
          <w:sz w:val="20"/>
          <w:szCs w:val="20"/>
        </w:rPr>
        <w:t xml:space="preserve">Ultimately, this </w:t>
      </w:r>
      <w:r w:rsidR="00F11341" w:rsidRPr="00976F31">
        <w:rPr>
          <w:rFonts w:cs="EUAlbertina"/>
          <w:sz w:val="20"/>
          <w:szCs w:val="20"/>
        </w:rPr>
        <w:t xml:space="preserve">has led </w:t>
      </w:r>
      <w:r w:rsidR="008A3D64" w:rsidRPr="00976F31">
        <w:rPr>
          <w:rFonts w:cs="EUAlbertina"/>
          <w:sz w:val="20"/>
          <w:szCs w:val="20"/>
        </w:rPr>
        <w:t xml:space="preserve">to significant new research, clinical trials and availability of </w:t>
      </w:r>
      <w:r w:rsidR="006417CE" w:rsidRPr="00976F31">
        <w:rPr>
          <w:rFonts w:cs="EUAlbertina"/>
          <w:sz w:val="20"/>
          <w:szCs w:val="20"/>
        </w:rPr>
        <w:t>innovative therapies for</w:t>
      </w:r>
      <w:r w:rsidR="008A3D64" w:rsidRPr="00976F31">
        <w:rPr>
          <w:rFonts w:cs="EUAlbertina"/>
          <w:sz w:val="20"/>
          <w:szCs w:val="20"/>
        </w:rPr>
        <w:t xml:space="preserve"> severe</w:t>
      </w:r>
      <w:r w:rsidR="0062228F" w:rsidRPr="00976F31">
        <w:rPr>
          <w:rFonts w:cs="EUAlbertina"/>
          <w:sz w:val="20"/>
          <w:szCs w:val="20"/>
        </w:rPr>
        <w:t>ly</w:t>
      </w:r>
      <w:r w:rsidR="008A3D64" w:rsidRPr="00976F31">
        <w:rPr>
          <w:rFonts w:cs="EUAlbertina"/>
          <w:sz w:val="20"/>
          <w:szCs w:val="20"/>
        </w:rPr>
        <w:t xml:space="preserve"> debilitating and life-threatening diseases</w:t>
      </w:r>
      <w:r w:rsidR="0024224E" w:rsidRPr="00976F31">
        <w:t xml:space="preserve">. </w:t>
      </w:r>
    </w:p>
    <w:p w14:paraId="45B0CF10" w14:textId="6CADCF32" w:rsidR="00426025" w:rsidRPr="00976F31" w:rsidRDefault="008A3D64" w:rsidP="00FD4F86">
      <w:pPr>
        <w:spacing w:after="0" w:line="360" w:lineRule="auto"/>
        <w:jc w:val="both"/>
        <w:rPr>
          <w:rFonts w:cs="EUAlbertina"/>
          <w:sz w:val="20"/>
          <w:szCs w:val="20"/>
        </w:rPr>
      </w:pPr>
      <w:r w:rsidRPr="00976F31">
        <w:rPr>
          <w:rFonts w:cs="EUAlbertina"/>
          <w:sz w:val="20"/>
          <w:szCs w:val="20"/>
        </w:rPr>
        <w:t xml:space="preserve">However, </w:t>
      </w:r>
      <w:r w:rsidR="00426025" w:rsidRPr="00976F31">
        <w:rPr>
          <w:rFonts w:cs="EUAlbertina"/>
          <w:sz w:val="20"/>
          <w:szCs w:val="20"/>
        </w:rPr>
        <w:t xml:space="preserve">some countries </w:t>
      </w:r>
      <w:r w:rsidR="0062228F" w:rsidRPr="00976F31">
        <w:rPr>
          <w:rFonts w:cs="EUAlbertina"/>
          <w:sz w:val="20"/>
          <w:szCs w:val="20"/>
        </w:rPr>
        <w:t xml:space="preserve">are less advanced in this space, </w:t>
      </w:r>
      <w:r w:rsidR="00426025" w:rsidRPr="00976F31">
        <w:rPr>
          <w:rFonts w:cs="EUAlbertina"/>
          <w:sz w:val="20"/>
          <w:szCs w:val="20"/>
        </w:rPr>
        <w:t xml:space="preserve">with no or only </w:t>
      </w:r>
      <w:r w:rsidR="003A4132" w:rsidRPr="00976F31">
        <w:rPr>
          <w:rFonts w:cs="EUAlbertina"/>
          <w:sz w:val="20"/>
          <w:szCs w:val="20"/>
        </w:rPr>
        <w:t>high-level</w:t>
      </w:r>
      <w:r w:rsidR="00426025" w:rsidRPr="00976F31">
        <w:rPr>
          <w:rFonts w:cs="EUAlbertina"/>
          <w:sz w:val="20"/>
          <w:szCs w:val="20"/>
        </w:rPr>
        <w:t xml:space="preserve"> legislation in place</w:t>
      </w:r>
      <w:r w:rsidR="001F37B2">
        <w:rPr>
          <w:rFonts w:cs="EUAlbertina"/>
          <w:sz w:val="20"/>
          <w:szCs w:val="20"/>
        </w:rPr>
        <w:t>,</w:t>
      </w:r>
      <w:r w:rsidR="00426025" w:rsidRPr="00976F31">
        <w:rPr>
          <w:rFonts w:cs="EUAlbertina"/>
          <w:sz w:val="20"/>
          <w:szCs w:val="20"/>
        </w:rPr>
        <w:t xml:space="preserve"> </w:t>
      </w:r>
      <w:r w:rsidR="007F35E1" w:rsidRPr="00976F31">
        <w:rPr>
          <w:rFonts w:cs="EUAlbertina"/>
          <w:sz w:val="20"/>
          <w:szCs w:val="20"/>
        </w:rPr>
        <w:t>which address</w:t>
      </w:r>
      <w:r w:rsidR="001F37B2">
        <w:rPr>
          <w:rFonts w:cs="EUAlbertina"/>
          <w:sz w:val="20"/>
          <w:szCs w:val="20"/>
        </w:rPr>
        <w:t>es</w:t>
      </w:r>
      <w:r w:rsidR="007F35E1" w:rsidRPr="00976F31">
        <w:rPr>
          <w:rFonts w:cs="EUAlbertina"/>
          <w:sz w:val="20"/>
          <w:szCs w:val="20"/>
        </w:rPr>
        <w:t xml:space="preserve"> </w:t>
      </w:r>
      <w:r w:rsidR="00426025" w:rsidRPr="00976F31">
        <w:rPr>
          <w:rFonts w:cs="EUAlbertina"/>
          <w:sz w:val="20"/>
          <w:szCs w:val="20"/>
        </w:rPr>
        <w:t xml:space="preserve">the high unmet medical need </w:t>
      </w:r>
      <w:r w:rsidR="00E97432" w:rsidRPr="00976F31">
        <w:rPr>
          <w:rFonts w:cs="EUAlbertina"/>
          <w:sz w:val="20"/>
          <w:szCs w:val="20"/>
        </w:rPr>
        <w:t>in</w:t>
      </w:r>
      <w:r w:rsidR="00426025" w:rsidRPr="00976F31">
        <w:rPr>
          <w:rFonts w:cs="EUAlbertina"/>
          <w:sz w:val="20"/>
          <w:szCs w:val="20"/>
        </w:rPr>
        <w:t xml:space="preserve"> rare diseases. As new </w:t>
      </w:r>
      <w:r w:rsidR="00DC6229" w:rsidRPr="00976F31">
        <w:rPr>
          <w:rFonts w:cs="EUAlbertina"/>
          <w:sz w:val="20"/>
          <w:szCs w:val="20"/>
        </w:rPr>
        <w:t>regulation</w:t>
      </w:r>
      <w:r w:rsidR="00275D6C" w:rsidRPr="00976F31">
        <w:rPr>
          <w:rFonts w:cs="EUAlbertina"/>
          <w:sz w:val="20"/>
          <w:szCs w:val="20"/>
        </w:rPr>
        <w:t>s and</w:t>
      </w:r>
      <w:r w:rsidR="00DC6229" w:rsidRPr="00976F31">
        <w:rPr>
          <w:rFonts w:cs="EUAlbertina"/>
          <w:sz w:val="20"/>
          <w:szCs w:val="20"/>
        </w:rPr>
        <w:t xml:space="preserve"> guid</w:t>
      </w:r>
      <w:r w:rsidR="007F35E1" w:rsidRPr="00976F31">
        <w:rPr>
          <w:rFonts w:cs="EUAlbertina"/>
          <w:sz w:val="20"/>
          <w:szCs w:val="20"/>
        </w:rPr>
        <w:t>elines</w:t>
      </w:r>
      <w:r w:rsidR="00426025" w:rsidRPr="00976F31">
        <w:rPr>
          <w:rFonts w:cs="EUAlbertina"/>
          <w:sz w:val="20"/>
          <w:szCs w:val="20"/>
        </w:rPr>
        <w:t xml:space="preserve"> </w:t>
      </w:r>
      <w:r w:rsidR="00275D6C" w:rsidRPr="00976F31">
        <w:rPr>
          <w:rFonts w:cs="EUAlbertina"/>
          <w:sz w:val="20"/>
          <w:szCs w:val="20"/>
        </w:rPr>
        <w:t>are</w:t>
      </w:r>
      <w:r w:rsidR="00426025" w:rsidRPr="00976F31">
        <w:rPr>
          <w:rFonts w:cs="EUAlbertina"/>
          <w:sz w:val="20"/>
          <w:szCs w:val="20"/>
        </w:rPr>
        <w:t xml:space="preserve"> under development in different countries, </w:t>
      </w:r>
      <w:r w:rsidR="00530C9C" w:rsidRPr="00976F31">
        <w:rPr>
          <w:rFonts w:cs="EUAlbertina"/>
          <w:sz w:val="20"/>
          <w:szCs w:val="20"/>
        </w:rPr>
        <w:t xml:space="preserve">we would like to recommend </w:t>
      </w:r>
      <w:r w:rsidR="00426025" w:rsidRPr="00976F31">
        <w:rPr>
          <w:rFonts w:cs="EUAlbertina"/>
          <w:sz w:val="20"/>
          <w:szCs w:val="20"/>
        </w:rPr>
        <w:t xml:space="preserve">that </w:t>
      </w:r>
      <w:r w:rsidR="00AC2366" w:rsidRPr="00976F31">
        <w:rPr>
          <w:rFonts w:cs="EUAlbertina"/>
          <w:sz w:val="20"/>
          <w:szCs w:val="20"/>
        </w:rPr>
        <w:t xml:space="preserve">several </w:t>
      </w:r>
      <w:r w:rsidR="00426025" w:rsidRPr="00976F31">
        <w:rPr>
          <w:rFonts w:cs="EUAlbertina"/>
          <w:sz w:val="20"/>
          <w:szCs w:val="20"/>
        </w:rPr>
        <w:t>key principles</w:t>
      </w:r>
      <w:r w:rsidR="007F35E1" w:rsidRPr="00976F31">
        <w:rPr>
          <w:rFonts w:cs="EUAlbertina"/>
          <w:sz w:val="20"/>
          <w:szCs w:val="20"/>
        </w:rPr>
        <w:t xml:space="preserve"> as outlined below</w:t>
      </w:r>
      <w:r w:rsidR="00426025" w:rsidRPr="00976F31">
        <w:rPr>
          <w:rFonts w:cs="EUAlbertina"/>
          <w:sz w:val="20"/>
          <w:szCs w:val="20"/>
        </w:rPr>
        <w:t xml:space="preserve"> are included </w:t>
      </w:r>
      <w:r w:rsidR="00E97432" w:rsidRPr="00976F31">
        <w:rPr>
          <w:rFonts w:cs="EUAlbertina"/>
          <w:sz w:val="20"/>
          <w:szCs w:val="20"/>
        </w:rPr>
        <w:t>to</w:t>
      </w:r>
      <w:r w:rsidR="00426025" w:rsidRPr="00976F31">
        <w:rPr>
          <w:rFonts w:cs="EUAlbertina"/>
          <w:sz w:val="20"/>
          <w:szCs w:val="20"/>
        </w:rPr>
        <w:t xml:space="preserve"> </w:t>
      </w:r>
      <w:r w:rsidR="00530C9C" w:rsidRPr="00976F31">
        <w:rPr>
          <w:rFonts w:cs="EUAlbertina"/>
          <w:sz w:val="20"/>
          <w:szCs w:val="20"/>
        </w:rPr>
        <w:t xml:space="preserve">support global medicine development </w:t>
      </w:r>
      <w:r w:rsidR="00D35B5A" w:rsidRPr="00976F31">
        <w:rPr>
          <w:rFonts w:cs="EUAlbertina"/>
          <w:sz w:val="20"/>
          <w:szCs w:val="20"/>
        </w:rPr>
        <w:t xml:space="preserve">tailored to population needs </w:t>
      </w:r>
      <w:r w:rsidR="00530C9C" w:rsidRPr="00976F31">
        <w:rPr>
          <w:rFonts w:cs="EUAlbertina"/>
          <w:sz w:val="20"/>
          <w:szCs w:val="20"/>
        </w:rPr>
        <w:t xml:space="preserve">that will </w:t>
      </w:r>
      <w:r w:rsidR="00216AA4" w:rsidRPr="00976F31">
        <w:rPr>
          <w:rFonts w:cs="EUAlbertina"/>
          <w:sz w:val="20"/>
          <w:szCs w:val="20"/>
        </w:rPr>
        <w:t>benefit</w:t>
      </w:r>
      <w:r w:rsidR="007D2AD8" w:rsidRPr="00976F31">
        <w:rPr>
          <w:rFonts w:cs="EUAlbertina"/>
          <w:sz w:val="20"/>
          <w:szCs w:val="20"/>
        </w:rPr>
        <w:t xml:space="preserve"> </w:t>
      </w:r>
      <w:r w:rsidR="001F37B2">
        <w:rPr>
          <w:rFonts w:cs="EUAlbertina"/>
          <w:sz w:val="20"/>
          <w:szCs w:val="20"/>
        </w:rPr>
        <w:t>rare disease</w:t>
      </w:r>
      <w:r w:rsidR="001F37B2" w:rsidRPr="00976F31">
        <w:rPr>
          <w:rFonts w:cs="EUAlbertina"/>
          <w:sz w:val="20"/>
          <w:szCs w:val="20"/>
        </w:rPr>
        <w:t xml:space="preserve"> </w:t>
      </w:r>
      <w:r w:rsidR="00426025" w:rsidRPr="00976F31">
        <w:rPr>
          <w:rFonts w:cs="EUAlbertina"/>
          <w:sz w:val="20"/>
          <w:szCs w:val="20"/>
        </w:rPr>
        <w:t>patients.</w:t>
      </w:r>
    </w:p>
    <w:p w14:paraId="2B047487" w14:textId="77777777" w:rsidR="00695822" w:rsidRPr="00976F31" w:rsidRDefault="00695822" w:rsidP="00FD4F86">
      <w:pPr>
        <w:spacing w:after="0" w:line="360" w:lineRule="auto"/>
        <w:jc w:val="both"/>
        <w:rPr>
          <w:rFonts w:cs="EUAlbertina"/>
          <w:sz w:val="20"/>
          <w:szCs w:val="20"/>
        </w:rPr>
      </w:pPr>
    </w:p>
    <w:p w14:paraId="77713442" w14:textId="35887547" w:rsidR="00BC44A0" w:rsidRPr="00976F31" w:rsidRDefault="00530C9C" w:rsidP="00FD4F86">
      <w:pPr>
        <w:spacing w:after="0" w:line="360" w:lineRule="auto"/>
        <w:jc w:val="both"/>
        <w:rPr>
          <w:rFonts w:cs="EUAlbertina"/>
          <w:sz w:val="20"/>
          <w:szCs w:val="20"/>
        </w:rPr>
      </w:pPr>
      <w:r w:rsidRPr="00976F31">
        <w:rPr>
          <w:rFonts w:cs="EUAlbertina"/>
          <w:sz w:val="20"/>
          <w:szCs w:val="20"/>
        </w:rPr>
        <w:t>This paper will focus on</w:t>
      </w:r>
      <w:r w:rsidR="00087795" w:rsidRPr="00976F31">
        <w:rPr>
          <w:rFonts w:cs="EUAlbertina"/>
          <w:sz w:val="20"/>
          <w:szCs w:val="20"/>
        </w:rPr>
        <w:t xml:space="preserve"> regulatory considerations </w:t>
      </w:r>
      <w:r w:rsidR="00286734" w:rsidRPr="00976F31">
        <w:rPr>
          <w:rFonts w:cs="EUAlbertina"/>
          <w:sz w:val="20"/>
          <w:szCs w:val="20"/>
        </w:rPr>
        <w:t xml:space="preserve">only </w:t>
      </w:r>
      <w:r w:rsidRPr="00976F31">
        <w:rPr>
          <w:rFonts w:cs="EUAlbertina"/>
          <w:sz w:val="20"/>
          <w:szCs w:val="20"/>
        </w:rPr>
        <w:t>and will not cover medical or market access challenges in the area of rare diseases and orphan drugs.</w:t>
      </w:r>
    </w:p>
    <w:p w14:paraId="7F2C2255" w14:textId="77777777" w:rsidR="00687014" w:rsidRPr="00976F31" w:rsidRDefault="00687014" w:rsidP="00FD4F86">
      <w:pPr>
        <w:spacing w:after="0" w:line="360" w:lineRule="auto"/>
        <w:jc w:val="both"/>
        <w:rPr>
          <w:b/>
        </w:rPr>
      </w:pPr>
    </w:p>
    <w:p w14:paraId="147A184F" w14:textId="4F080214" w:rsidR="00063D67" w:rsidRPr="00FD4F86" w:rsidRDefault="008A3D64" w:rsidP="00FD4F86">
      <w:pPr>
        <w:pStyle w:val="Heading2"/>
        <w:spacing w:line="360" w:lineRule="auto"/>
        <w:rPr>
          <w:rFonts w:cs="EUAlbertina"/>
          <w:sz w:val="20"/>
          <w:szCs w:val="20"/>
        </w:rPr>
      </w:pPr>
      <w:r w:rsidRPr="00976F31">
        <w:t>Adoption of a standard definition of a Rare Disease and criteria for O</w:t>
      </w:r>
      <w:r w:rsidR="005B724B" w:rsidRPr="00976F31">
        <w:t xml:space="preserve">rphan </w:t>
      </w:r>
      <w:r w:rsidRPr="00976F31">
        <w:t>M</w:t>
      </w:r>
      <w:r w:rsidR="005B724B" w:rsidRPr="00976F31">
        <w:t xml:space="preserve">edicinal </w:t>
      </w:r>
      <w:r w:rsidRPr="00976F31">
        <w:t>P</w:t>
      </w:r>
      <w:r w:rsidR="005B724B" w:rsidRPr="00976F31">
        <w:t>roduct</w:t>
      </w:r>
      <w:r w:rsidRPr="00976F31">
        <w:t xml:space="preserve"> Designation in the legislation</w:t>
      </w:r>
      <w:r w:rsidR="00530C9C" w:rsidRPr="00976F31">
        <w:t xml:space="preserve"> </w:t>
      </w:r>
    </w:p>
    <w:p w14:paraId="2B035163" w14:textId="076C339F" w:rsidR="00FF1E3D" w:rsidRPr="00976F31" w:rsidRDefault="00FF1E3D" w:rsidP="00FD4F86">
      <w:pPr>
        <w:spacing w:after="0" w:line="360" w:lineRule="auto"/>
        <w:jc w:val="both"/>
        <w:rPr>
          <w:rFonts w:cs="EUAlbertina"/>
          <w:sz w:val="20"/>
          <w:szCs w:val="20"/>
        </w:rPr>
      </w:pPr>
      <w:r w:rsidRPr="00976F31">
        <w:rPr>
          <w:rFonts w:cs="EUAlbertina"/>
          <w:sz w:val="20"/>
          <w:szCs w:val="20"/>
        </w:rPr>
        <w:t>There is no internationally accepted definition of rare diseases</w:t>
      </w:r>
      <w:r w:rsidRPr="00BE0B5A">
        <w:rPr>
          <w:rFonts w:cs="EUAlbertina"/>
          <w:sz w:val="20"/>
          <w:szCs w:val="20"/>
        </w:rPr>
        <w:t>.</w:t>
      </w:r>
      <w:bookmarkStart w:id="2" w:name="_Ref531250429"/>
      <w:r w:rsidR="00BE0B5A" w:rsidRPr="00BE0B5A">
        <w:rPr>
          <w:rStyle w:val="EndnoteReference"/>
          <w:rFonts w:cs="EUAlbertina"/>
          <w:szCs w:val="20"/>
        </w:rPr>
        <w:endnoteReference w:id="8"/>
      </w:r>
      <w:bookmarkEnd w:id="2"/>
      <w:r w:rsidRPr="00BE0B5A">
        <w:rPr>
          <w:rFonts w:cs="EUAlbertina"/>
          <w:sz w:val="20"/>
          <w:szCs w:val="20"/>
        </w:rPr>
        <w:t xml:space="preserve"> In </w:t>
      </w:r>
      <w:r w:rsidR="0065291C" w:rsidRPr="00BE0B5A">
        <w:rPr>
          <w:rFonts w:cs="EUAlbertina"/>
          <w:sz w:val="20"/>
          <w:szCs w:val="20"/>
        </w:rPr>
        <w:t>certain</w:t>
      </w:r>
      <w:r w:rsidR="0065291C" w:rsidRPr="00976F31">
        <w:rPr>
          <w:rFonts w:cs="EUAlbertina"/>
          <w:sz w:val="20"/>
          <w:szCs w:val="20"/>
        </w:rPr>
        <w:t xml:space="preserve"> </w:t>
      </w:r>
      <w:r w:rsidRPr="00976F31">
        <w:rPr>
          <w:rFonts w:cs="EUAlbertina"/>
          <w:sz w:val="20"/>
          <w:szCs w:val="20"/>
        </w:rPr>
        <w:t xml:space="preserve">emerging </w:t>
      </w:r>
      <w:r w:rsidR="008C0D14" w:rsidRPr="00976F31">
        <w:rPr>
          <w:rFonts w:cs="EUAlbertina"/>
          <w:sz w:val="20"/>
          <w:szCs w:val="20"/>
        </w:rPr>
        <w:t xml:space="preserve">regulatory jurisdictions, </w:t>
      </w:r>
      <w:r w:rsidRPr="00976F31">
        <w:rPr>
          <w:rFonts w:cs="EUAlbertina"/>
          <w:sz w:val="20"/>
          <w:szCs w:val="20"/>
        </w:rPr>
        <w:t>defined orphan drug or rare diseases list</w:t>
      </w:r>
      <w:r w:rsidR="00280337" w:rsidRPr="00976F31">
        <w:rPr>
          <w:rFonts w:cs="EUAlbertina"/>
          <w:sz w:val="20"/>
          <w:szCs w:val="20"/>
        </w:rPr>
        <w:t>s</w:t>
      </w:r>
      <w:r w:rsidRPr="00976F31">
        <w:rPr>
          <w:rFonts w:cs="EUAlbertina"/>
          <w:sz w:val="20"/>
          <w:szCs w:val="20"/>
        </w:rPr>
        <w:t xml:space="preserve"> </w:t>
      </w:r>
      <w:r w:rsidR="0065291C" w:rsidRPr="00976F31">
        <w:rPr>
          <w:rFonts w:cs="EUAlbertina"/>
          <w:sz w:val="20"/>
          <w:szCs w:val="20"/>
        </w:rPr>
        <w:t>exist</w:t>
      </w:r>
      <w:r w:rsidR="007005F5">
        <w:rPr>
          <w:rFonts w:cs="EUAlbertina"/>
          <w:sz w:val="20"/>
          <w:szCs w:val="20"/>
        </w:rPr>
        <w:t>. H</w:t>
      </w:r>
      <w:r w:rsidR="0065291C" w:rsidRPr="00976F31">
        <w:rPr>
          <w:rFonts w:cs="EUAlbertina"/>
          <w:sz w:val="20"/>
          <w:szCs w:val="20"/>
        </w:rPr>
        <w:t>owever</w:t>
      </w:r>
      <w:r w:rsidR="007005F5">
        <w:rPr>
          <w:rFonts w:cs="EUAlbertina"/>
          <w:sz w:val="20"/>
          <w:szCs w:val="20"/>
        </w:rPr>
        <w:t>,</w:t>
      </w:r>
      <w:r w:rsidR="0065291C" w:rsidRPr="00976F31">
        <w:rPr>
          <w:rFonts w:cs="EUAlbertina"/>
          <w:sz w:val="20"/>
          <w:szCs w:val="20"/>
        </w:rPr>
        <w:t xml:space="preserve"> they </w:t>
      </w:r>
      <w:r w:rsidR="00B15735" w:rsidRPr="00976F31">
        <w:rPr>
          <w:rFonts w:cs="EUAlbertina"/>
          <w:sz w:val="20"/>
          <w:szCs w:val="20"/>
        </w:rPr>
        <w:t xml:space="preserve">often </w:t>
      </w:r>
      <w:r w:rsidR="0065291C" w:rsidRPr="00976F31">
        <w:rPr>
          <w:rFonts w:cs="EUAlbertina"/>
          <w:sz w:val="20"/>
          <w:szCs w:val="20"/>
        </w:rPr>
        <w:t xml:space="preserve">lack </w:t>
      </w:r>
      <w:r w:rsidRPr="00976F31">
        <w:rPr>
          <w:rFonts w:cs="EUAlbertina"/>
          <w:sz w:val="20"/>
          <w:szCs w:val="20"/>
        </w:rPr>
        <w:t xml:space="preserve">clarity on </w:t>
      </w:r>
      <w:r w:rsidR="0065291C" w:rsidRPr="00976F31">
        <w:rPr>
          <w:rFonts w:cs="EUAlbertina"/>
          <w:sz w:val="20"/>
          <w:szCs w:val="20"/>
        </w:rPr>
        <w:t xml:space="preserve">inclusion </w:t>
      </w:r>
      <w:r w:rsidRPr="00976F31">
        <w:rPr>
          <w:rFonts w:cs="EUAlbertina"/>
          <w:sz w:val="20"/>
          <w:szCs w:val="20"/>
        </w:rPr>
        <w:t xml:space="preserve">criteria </w:t>
      </w:r>
      <w:r w:rsidR="00E13D11" w:rsidRPr="00976F31">
        <w:rPr>
          <w:rFonts w:cs="EUAlbertina"/>
          <w:sz w:val="20"/>
          <w:szCs w:val="20"/>
        </w:rPr>
        <w:t xml:space="preserve">and </w:t>
      </w:r>
      <w:r w:rsidR="00280337" w:rsidRPr="00976F31">
        <w:rPr>
          <w:rFonts w:cs="EUAlbertina"/>
          <w:sz w:val="20"/>
          <w:szCs w:val="20"/>
        </w:rPr>
        <w:t>methodology for eligibility</w:t>
      </w:r>
      <w:r w:rsidRPr="00976F31">
        <w:rPr>
          <w:rFonts w:cs="EUAlbertina"/>
          <w:sz w:val="20"/>
          <w:szCs w:val="20"/>
        </w:rPr>
        <w:t xml:space="preserve">. </w:t>
      </w:r>
      <w:r w:rsidR="009A5010" w:rsidRPr="00976F31">
        <w:rPr>
          <w:rFonts w:cs="EUAlbertina"/>
          <w:sz w:val="20"/>
          <w:szCs w:val="20"/>
        </w:rPr>
        <w:t xml:space="preserve">Having standard definitions aligned globally </w:t>
      </w:r>
      <w:r w:rsidR="00B20E94" w:rsidRPr="00976F31">
        <w:rPr>
          <w:rFonts w:cs="EUAlbertina"/>
          <w:sz w:val="20"/>
          <w:szCs w:val="20"/>
        </w:rPr>
        <w:t xml:space="preserve">will allow </w:t>
      </w:r>
      <w:r w:rsidR="00976F31" w:rsidRPr="00976F31">
        <w:rPr>
          <w:rFonts w:cs="EUAlbertina"/>
          <w:sz w:val="20"/>
          <w:szCs w:val="20"/>
        </w:rPr>
        <w:t>standards</w:t>
      </w:r>
      <w:r w:rsidR="007005F5">
        <w:rPr>
          <w:rFonts w:cs="EUAlbertina"/>
          <w:sz w:val="20"/>
          <w:szCs w:val="20"/>
        </w:rPr>
        <w:t xml:space="preserve"> to be set</w:t>
      </w:r>
      <w:r w:rsidR="00976F31" w:rsidRPr="00976F31">
        <w:rPr>
          <w:rFonts w:cs="EUAlbertina"/>
          <w:sz w:val="20"/>
          <w:szCs w:val="20"/>
        </w:rPr>
        <w:t xml:space="preserve"> in a transparent manner and </w:t>
      </w:r>
      <w:r w:rsidR="007005F5">
        <w:rPr>
          <w:rFonts w:cs="EUAlbertina"/>
          <w:sz w:val="20"/>
          <w:szCs w:val="20"/>
        </w:rPr>
        <w:t>will facilitate</w:t>
      </w:r>
      <w:r w:rsidR="009A5010" w:rsidRPr="00976F31">
        <w:rPr>
          <w:rFonts w:cs="EUAlbertina"/>
          <w:sz w:val="20"/>
          <w:szCs w:val="20"/>
        </w:rPr>
        <w:t xml:space="preserve"> regulatory convergence in the designation and approval process</w:t>
      </w:r>
      <w:r w:rsidR="00B20E94" w:rsidRPr="00976F31">
        <w:rPr>
          <w:rFonts w:cs="EUAlbertina"/>
          <w:sz w:val="20"/>
          <w:szCs w:val="20"/>
        </w:rPr>
        <w:t>.</w:t>
      </w:r>
      <w:r w:rsidR="008C500F" w:rsidRPr="00976F31">
        <w:rPr>
          <w:rFonts w:cs="EUAlbertina"/>
          <w:sz w:val="20"/>
          <w:szCs w:val="20"/>
        </w:rPr>
        <w:t xml:space="preserve"> It has been useful to differentiate between a rare disease definition and criteria for orphan medicinal status designation.</w:t>
      </w:r>
    </w:p>
    <w:p w14:paraId="7AB4ECD2" w14:textId="4E6B44F6" w:rsidR="002032AB" w:rsidRDefault="00F33E1F" w:rsidP="000F2712">
      <w:pPr>
        <w:pStyle w:val="ListParagraph"/>
        <w:spacing w:after="0" w:line="360" w:lineRule="auto"/>
        <w:ind w:left="360"/>
        <w:jc w:val="both"/>
        <w:rPr>
          <w:rFonts w:cs="EUAlbertina"/>
          <w:sz w:val="20"/>
          <w:szCs w:val="20"/>
        </w:rPr>
      </w:pPr>
      <w:r w:rsidRPr="00976F31">
        <w:rPr>
          <w:rFonts w:cs="EUAlbertina"/>
          <w:sz w:val="20"/>
          <w:szCs w:val="20"/>
        </w:rPr>
        <w:t>In major jurisdictions</w:t>
      </w:r>
      <w:r w:rsidR="008A3D64" w:rsidRPr="00976F31">
        <w:rPr>
          <w:rFonts w:cs="EUAlbertina"/>
          <w:sz w:val="20"/>
          <w:szCs w:val="20"/>
        </w:rPr>
        <w:t xml:space="preserve">, </w:t>
      </w:r>
      <w:r w:rsidRPr="00976F31">
        <w:rPr>
          <w:rFonts w:cs="EUAlbertina"/>
          <w:sz w:val="20"/>
          <w:szCs w:val="20"/>
        </w:rPr>
        <w:t>medicinal products for rare diseases</w:t>
      </w:r>
      <w:r w:rsidR="008A3D64" w:rsidRPr="00976F31">
        <w:rPr>
          <w:rFonts w:cs="EUAlbertina"/>
          <w:sz w:val="20"/>
          <w:szCs w:val="20"/>
        </w:rPr>
        <w:t xml:space="preserve"> </w:t>
      </w:r>
      <w:r w:rsidR="003D4D21" w:rsidRPr="00976F31">
        <w:rPr>
          <w:rFonts w:cs="EUAlbertina"/>
          <w:sz w:val="20"/>
          <w:szCs w:val="20"/>
        </w:rPr>
        <w:t xml:space="preserve">currently </w:t>
      </w:r>
      <w:r w:rsidR="008A3D64" w:rsidRPr="00976F31">
        <w:rPr>
          <w:rFonts w:cs="EUAlbertina"/>
          <w:sz w:val="20"/>
          <w:szCs w:val="20"/>
        </w:rPr>
        <w:t xml:space="preserve">have to </w:t>
      </w:r>
      <w:r w:rsidR="003A433B" w:rsidRPr="00976F31">
        <w:rPr>
          <w:rFonts w:cs="EUAlbertina"/>
          <w:sz w:val="20"/>
          <w:szCs w:val="20"/>
        </w:rPr>
        <w:t>fulfil</w:t>
      </w:r>
      <w:r w:rsidR="008A3D64" w:rsidRPr="00976F31">
        <w:rPr>
          <w:rFonts w:cs="EUAlbertina"/>
          <w:sz w:val="20"/>
          <w:szCs w:val="20"/>
        </w:rPr>
        <w:t xml:space="preserve"> a series of criteria</w:t>
      </w:r>
      <w:r w:rsidR="00717AC2" w:rsidRPr="00976F31">
        <w:rPr>
          <w:rFonts w:cs="EUAlbertina"/>
          <w:sz w:val="20"/>
          <w:szCs w:val="20"/>
        </w:rPr>
        <w:t xml:space="preserve"> prior to obtaining “orphan” designation and benefit from the corresponding incentives</w:t>
      </w:r>
      <w:r w:rsidR="008170EE">
        <w:rPr>
          <w:rFonts w:cs="EUAlbertina"/>
          <w:sz w:val="20"/>
          <w:szCs w:val="20"/>
        </w:rPr>
        <w:t>, which are explained in further detail below</w:t>
      </w:r>
      <w:r w:rsidR="000F2712">
        <w:rPr>
          <w:rFonts w:cs="EUAlbertina"/>
          <w:sz w:val="20"/>
          <w:szCs w:val="20"/>
        </w:rPr>
        <w:t>.</w:t>
      </w:r>
    </w:p>
    <w:p w14:paraId="04417EC4" w14:textId="77777777" w:rsidR="000F2712" w:rsidRDefault="000F2712" w:rsidP="000F2712">
      <w:pPr>
        <w:pStyle w:val="ListParagraph"/>
        <w:spacing w:after="0" w:line="360" w:lineRule="auto"/>
        <w:ind w:left="360"/>
        <w:jc w:val="both"/>
        <w:rPr>
          <w:rFonts w:cs="EUAlbertina"/>
          <w:sz w:val="20"/>
          <w:szCs w:val="20"/>
        </w:rPr>
      </w:pPr>
    </w:p>
    <w:p w14:paraId="7D8B47A3" w14:textId="6CBCDC8E" w:rsidR="0062228F" w:rsidRPr="00976F31" w:rsidRDefault="0062228F" w:rsidP="001A2686">
      <w:pPr>
        <w:pStyle w:val="ListParagraph"/>
        <w:numPr>
          <w:ilvl w:val="0"/>
          <w:numId w:val="3"/>
        </w:numPr>
        <w:spacing w:after="0" w:line="360" w:lineRule="auto"/>
        <w:jc w:val="both"/>
        <w:rPr>
          <w:rFonts w:cs="EUAlbertina"/>
          <w:b/>
          <w:i/>
          <w:sz w:val="20"/>
          <w:szCs w:val="20"/>
        </w:rPr>
      </w:pPr>
      <w:r w:rsidRPr="00976F31">
        <w:rPr>
          <w:rFonts w:cs="EUAlbertina"/>
          <w:b/>
          <w:i/>
          <w:sz w:val="20"/>
          <w:szCs w:val="20"/>
        </w:rPr>
        <w:t>Seriousness of disease</w:t>
      </w:r>
    </w:p>
    <w:p w14:paraId="63483857" w14:textId="77777777" w:rsidR="0062228F" w:rsidRPr="00976F31" w:rsidRDefault="0062228F" w:rsidP="00FD4F86">
      <w:pPr>
        <w:spacing w:after="0" w:line="360" w:lineRule="auto"/>
        <w:ind w:left="360"/>
        <w:jc w:val="both"/>
        <w:rPr>
          <w:rFonts w:cs="EUAlbertina"/>
          <w:sz w:val="20"/>
          <w:szCs w:val="20"/>
        </w:rPr>
      </w:pPr>
      <w:r w:rsidRPr="00976F31">
        <w:rPr>
          <w:rFonts w:cs="EUAlbertina"/>
          <w:sz w:val="20"/>
          <w:szCs w:val="20"/>
        </w:rPr>
        <w:t xml:space="preserve">Orphan drugs have to </w:t>
      </w:r>
      <w:r w:rsidR="003F1C63" w:rsidRPr="00976F31">
        <w:rPr>
          <w:rFonts w:cs="EUAlbertina"/>
          <w:sz w:val="20"/>
          <w:szCs w:val="20"/>
        </w:rPr>
        <w:t xml:space="preserve">diagnose, prevent or </w:t>
      </w:r>
      <w:r w:rsidRPr="00976F31">
        <w:rPr>
          <w:rFonts w:cs="EUAlbertina"/>
          <w:sz w:val="20"/>
          <w:szCs w:val="20"/>
        </w:rPr>
        <w:t xml:space="preserve">treat life threatening </w:t>
      </w:r>
      <w:r w:rsidR="003F1C63" w:rsidRPr="00976F31">
        <w:rPr>
          <w:rFonts w:cs="EUAlbertina"/>
          <w:sz w:val="20"/>
          <w:szCs w:val="20"/>
        </w:rPr>
        <w:t xml:space="preserve">or chronically </w:t>
      </w:r>
      <w:r w:rsidRPr="00976F31">
        <w:rPr>
          <w:rFonts w:cs="EUAlbertina"/>
          <w:sz w:val="20"/>
          <w:szCs w:val="20"/>
        </w:rPr>
        <w:t xml:space="preserve">debilitating </w:t>
      </w:r>
      <w:r w:rsidR="003F1C63" w:rsidRPr="00976F31">
        <w:rPr>
          <w:rFonts w:cs="EUAlbertina"/>
          <w:sz w:val="20"/>
          <w:szCs w:val="20"/>
        </w:rPr>
        <w:t>conditions</w:t>
      </w:r>
      <w:r w:rsidRPr="00976F31">
        <w:rPr>
          <w:rFonts w:cs="EUAlbertina"/>
          <w:sz w:val="20"/>
          <w:szCs w:val="20"/>
        </w:rPr>
        <w:t>.</w:t>
      </w:r>
    </w:p>
    <w:p w14:paraId="64A652D2" w14:textId="45D01CD5" w:rsidR="00F01C38" w:rsidRPr="00976F31" w:rsidRDefault="00F01C38" w:rsidP="00CF40F9">
      <w:pPr>
        <w:autoSpaceDE w:val="0"/>
        <w:autoSpaceDN w:val="0"/>
        <w:adjustRightInd w:val="0"/>
        <w:spacing w:after="0" w:line="360" w:lineRule="auto"/>
        <w:ind w:left="360"/>
        <w:rPr>
          <w:rFonts w:cs="EUAlbertina"/>
          <w:sz w:val="20"/>
          <w:szCs w:val="20"/>
        </w:rPr>
      </w:pPr>
      <w:r w:rsidRPr="00976F31">
        <w:rPr>
          <w:rFonts w:cs="EUAlbertina"/>
          <w:sz w:val="20"/>
          <w:szCs w:val="20"/>
        </w:rPr>
        <w:t xml:space="preserve">In </w:t>
      </w:r>
      <w:r w:rsidR="00976F31">
        <w:rPr>
          <w:rFonts w:cs="EUAlbertina"/>
          <w:sz w:val="20"/>
          <w:szCs w:val="20"/>
        </w:rPr>
        <w:t xml:space="preserve">the </w:t>
      </w:r>
      <w:r w:rsidRPr="00976F31">
        <w:rPr>
          <w:rFonts w:cs="EUAlbertina"/>
          <w:sz w:val="20"/>
          <w:szCs w:val="20"/>
        </w:rPr>
        <w:t xml:space="preserve">EU, </w:t>
      </w:r>
      <w:r w:rsidR="007005F5">
        <w:rPr>
          <w:rFonts w:cs="EUAlbertina"/>
          <w:sz w:val="20"/>
          <w:szCs w:val="20"/>
        </w:rPr>
        <w:t>the Orphan R</w:t>
      </w:r>
      <w:r w:rsidR="007005F5" w:rsidRPr="00976F31">
        <w:rPr>
          <w:rFonts w:cs="EUAlbertina"/>
          <w:sz w:val="20"/>
          <w:szCs w:val="20"/>
        </w:rPr>
        <w:t xml:space="preserve">egulation </w:t>
      </w:r>
      <w:r w:rsidRPr="00976F31">
        <w:rPr>
          <w:rFonts w:cs="EUAlbertina"/>
          <w:sz w:val="20"/>
          <w:szCs w:val="20"/>
        </w:rPr>
        <w:t>specif</w:t>
      </w:r>
      <w:r w:rsidR="00CF40F9">
        <w:rPr>
          <w:rFonts w:cs="EUAlbertina"/>
          <w:sz w:val="20"/>
          <w:szCs w:val="20"/>
        </w:rPr>
        <w:t>ies that</w:t>
      </w:r>
      <w:r w:rsidRPr="00976F31">
        <w:rPr>
          <w:rFonts w:cs="EUAlbertina"/>
          <w:sz w:val="20"/>
          <w:szCs w:val="20"/>
        </w:rPr>
        <w:t xml:space="preserve"> the orphan condition should be life-threatening </w:t>
      </w:r>
      <w:r w:rsidR="00AC106D" w:rsidRPr="00976F31">
        <w:rPr>
          <w:rFonts w:cs="EUAlbertina"/>
          <w:sz w:val="20"/>
          <w:szCs w:val="20"/>
        </w:rPr>
        <w:t xml:space="preserve">or </w:t>
      </w:r>
      <w:r w:rsidR="00AC106D">
        <w:rPr>
          <w:rFonts w:cs="EUAlbertina"/>
          <w:sz w:val="20"/>
          <w:szCs w:val="20"/>
        </w:rPr>
        <w:t>chronically</w:t>
      </w:r>
      <w:r w:rsidRPr="00976F31">
        <w:rPr>
          <w:rFonts w:cs="EUAlbertina"/>
          <w:sz w:val="20"/>
          <w:szCs w:val="20"/>
        </w:rPr>
        <w:t xml:space="preserve"> debilitating.</w:t>
      </w:r>
    </w:p>
    <w:p w14:paraId="5BC42DBC" w14:textId="2D83308B" w:rsidR="00B6665E" w:rsidRPr="00976F31" w:rsidRDefault="009A5010" w:rsidP="00FD4F86">
      <w:pPr>
        <w:spacing w:after="0" w:line="360" w:lineRule="auto"/>
        <w:ind w:left="360"/>
        <w:jc w:val="both"/>
        <w:rPr>
          <w:rFonts w:cs="EUAlbertina"/>
          <w:sz w:val="20"/>
          <w:szCs w:val="20"/>
        </w:rPr>
      </w:pPr>
      <w:r w:rsidRPr="00976F31">
        <w:rPr>
          <w:rFonts w:cs="EUAlbertina"/>
          <w:sz w:val="20"/>
          <w:szCs w:val="20"/>
        </w:rPr>
        <w:t>In the US</w:t>
      </w:r>
      <w:r w:rsidR="00B15735" w:rsidRPr="00976F31">
        <w:rPr>
          <w:rFonts w:cs="EUAlbertina"/>
          <w:sz w:val="20"/>
          <w:szCs w:val="20"/>
        </w:rPr>
        <w:t>,</w:t>
      </w:r>
      <w:r w:rsidRPr="00976F31">
        <w:rPr>
          <w:rFonts w:cs="EUAlbertina"/>
          <w:sz w:val="20"/>
          <w:szCs w:val="20"/>
        </w:rPr>
        <w:t xml:space="preserve"> the</w:t>
      </w:r>
      <w:r w:rsidR="00FF07DC" w:rsidRPr="00976F31">
        <w:rPr>
          <w:rFonts w:cs="EUAlbertina"/>
          <w:sz w:val="20"/>
          <w:szCs w:val="20"/>
        </w:rPr>
        <w:t xml:space="preserve"> </w:t>
      </w:r>
      <w:r w:rsidR="00C15247" w:rsidRPr="00976F31">
        <w:rPr>
          <w:rFonts w:cs="EUAlbertina"/>
          <w:sz w:val="20"/>
          <w:szCs w:val="20"/>
        </w:rPr>
        <w:t xml:space="preserve">Food and Drug administration </w:t>
      </w:r>
      <w:r w:rsidRPr="00976F31">
        <w:rPr>
          <w:rFonts w:cs="EUAlbertina"/>
          <w:sz w:val="20"/>
          <w:szCs w:val="20"/>
        </w:rPr>
        <w:t>(</w:t>
      </w:r>
      <w:r w:rsidR="00D14C73" w:rsidRPr="00976F31">
        <w:rPr>
          <w:rFonts w:cs="EUAlbertina"/>
          <w:sz w:val="20"/>
          <w:szCs w:val="20"/>
        </w:rPr>
        <w:t>FDA</w:t>
      </w:r>
      <w:r w:rsidRPr="00976F31">
        <w:rPr>
          <w:rFonts w:cs="EUAlbertina"/>
          <w:sz w:val="20"/>
          <w:szCs w:val="20"/>
        </w:rPr>
        <w:t>)</w:t>
      </w:r>
      <w:r w:rsidR="00D14C73" w:rsidRPr="00976F31">
        <w:rPr>
          <w:rFonts w:cs="EUAlbertina"/>
          <w:sz w:val="20"/>
          <w:szCs w:val="20"/>
        </w:rPr>
        <w:t xml:space="preserve"> interpret</w:t>
      </w:r>
      <w:r w:rsidR="008170EE">
        <w:rPr>
          <w:rFonts w:cs="EUAlbertina"/>
          <w:sz w:val="20"/>
          <w:szCs w:val="20"/>
        </w:rPr>
        <w:t>s</w:t>
      </w:r>
      <w:r w:rsidR="00D14C73" w:rsidRPr="00976F31">
        <w:rPr>
          <w:rFonts w:cs="EUAlbertina"/>
          <w:sz w:val="20"/>
          <w:szCs w:val="20"/>
        </w:rPr>
        <w:t xml:space="preserve"> the term </w:t>
      </w:r>
      <w:r w:rsidR="00DC6229" w:rsidRPr="00976F31">
        <w:rPr>
          <w:rFonts w:cs="EUAlbertina"/>
          <w:sz w:val="20"/>
          <w:szCs w:val="20"/>
        </w:rPr>
        <w:t>“</w:t>
      </w:r>
      <w:r w:rsidR="00D14C73" w:rsidRPr="00976F31">
        <w:rPr>
          <w:rFonts w:cs="EUAlbertina"/>
          <w:sz w:val="20"/>
          <w:szCs w:val="20"/>
        </w:rPr>
        <w:t>serious</w:t>
      </w:r>
      <w:r w:rsidR="00DC6229" w:rsidRPr="00976F31">
        <w:rPr>
          <w:rFonts w:cs="EUAlbertina"/>
          <w:sz w:val="20"/>
          <w:szCs w:val="20"/>
        </w:rPr>
        <w:t>”</w:t>
      </w:r>
      <w:r w:rsidR="00D14C73" w:rsidRPr="00976F31">
        <w:rPr>
          <w:rFonts w:cs="EUAlbertina"/>
          <w:sz w:val="20"/>
          <w:szCs w:val="20"/>
        </w:rPr>
        <w:t xml:space="preserve"> as a disease or condition associated with morbidity that has substantial impact on day-to-day fun</w:t>
      </w:r>
      <w:r w:rsidR="00D14C73" w:rsidRPr="00BE0B5A">
        <w:rPr>
          <w:rFonts w:cs="EUAlbertina"/>
          <w:sz w:val="20"/>
          <w:szCs w:val="20"/>
        </w:rPr>
        <w:t>ctioning.</w:t>
      </w:r>
      <w:r w:rsidR="00BE0B5A" w:rsidRPr="00BE0B5A">
        <w:rPr>
          <w:rStyle w:val="EndnoteReference"/>
          <w:rFonts w:cs="EUAlbertina"/>
          <w:szCs w:val="20"/>
        </w:rPr>
        <w:endnoteReference w:id="9"/>
      </w:r>
      <w:r w:rsidR="008C500F" w:rsidRPr="00BE0B5A">
        <w:rPr>
          <w:rFonts w:cs="EUAlbertina"/>
          <w:sz w:val="20"/>
          <w:szCs w:val="20"/>
        </w:rPr>
        <w:t xml:space="preserve"> </w:t>
      </w:r>
      <w:r w:rsidR="00D14C73" w:rsidRPr="00BE0B5A">
        <w:rPr>
          <w:rFonts w:cs="EUAlbertina"/>
          <w:sz w:val="20"/>
          <w:szCs w:val="20"/>
        </w:rPr>
        <w:t>Short</w:t>
      </w:r>
      <w:r w:rsidR="00D14C73" w:rsidRPr="00976F31">
        <w:rPr>
          <w:rFonts w:cs="EUAlbertina"/>
          <w:sz w:val="20"/>
          <w:szCs w:val="20"/>
        </w:rPr>
        <w:t xml:space="preserve">-lived and </w:t>
      </w:r>
      <w:r w:rsidR="004A108F" w:rsidRPr="00976F31">
        <w:rPr>
          <w:rFonts w:cs="EUAlbertina"/>
          <w:sz w:val="20"/>
          <w:szCs w:val="20"/>
        </w:rPr>
        <w:t>self-limiting</w:t>
      </w:r>
      <w:r w:rsidR="00D14C73" w:rsidRPr="00976F31">
        <w:rPr>
          <w:rFonts w:cs="EUAlbertina"/>
          <w:sz w:val="20"/>
          <w:szCs w:val="20"/>
        </w:rPr>
        <w:t xml:space="preserve"> morbidity will usually not be sufficient, but the morbidity need not be irreversible. Whether a disease or condition is serious is a matter of clinical judgment, based on its impact on such factors as survival, day-to-day functioning, or the likelihood that the disease, if left untreated, will progress from a less severe condition to a more serious one.  </w:t>
      </w:r>
    </w:p>
    <w:p w14:paraId="101B7146" w14:textId="77777777" w:rsidR="00BC1F6F" w:rsidRPr="00976F31" w:rsidRDefault="00BC1F6F" w:rsidP="00AC106D">
      <w:pPr>
        <w:spacing w:after="0" w:line="360" w:lineRule="auto"/>
        <w:ind w:left="360"/>
        <w:jc w:val="both"/>
        <w:rPr>
          <w:rFonts w:cs="EUAlbertina"/>
          <w:i/>
          <w:sz w:val="20"/>
          <w:szCs w:val="20"/>
        </w:rPr>
      </w:pPr>
    </w:p>
    <w:p w14:paraId="07D53418" w14:textId="77777777" w:rsidR="005B5EC8" w:rsidRPr="00976F31" w:rsidRDefault="005B5EC8" w:rsidP="00CF40F9">
      <w:pPr>
        <w:pStyle w:val="ListParagraph"/>
        <w:numPr>
          <w:ilvl w:val="0"/>
          <w:numId w:val="3"/>
        </w:numPr>
        <w:spacing w:after="0" w:line="360" w:lineRule="auto"/>
        <w:jc w:val="both"/>
        <w:rPr>
          <w:rFonts w:cs="EUAlbertina"/>
          <w:b/>
          <w:i/>
          <w:sz w:val="20"/>
          <w:szCs w:val="20"/>
        </w:rPr>
      </w:pPr>
      <w:r w:rsidRPr="00976F31">
        <w:rPr>
          <w:rFonts w:cs="EUAlbertina"/>
          <w:b/>
          <w:i/>
          <w:sz w:val="20"/>
          <w:szCs w:val="20"/>
        </w:rPr>
        <w:t>Unmet Medical need</w:t>
      </w:r>
    </w:p>
    <w:p w14:paraId="193C2FE6" w14:textId="312135FE" w:rsidR="003F1C63" w:rsidRDefault="008C500F" w:rsidP="00CF40F9">
      <w:pPr>
        <w:spacing w:after="0" w:line="360" w:lineRule="auto"/>
        <w:ind w:left="360"/>
        <w:jc w:val="both"/>
        <w:rPr>
          <w:rFonts w:cs="EUAlbertina"/>
          <w:sz w:val="20"/>
          <w:szCs w:val="20"/>
        </w:rPr>
      </w:pPr>
      <w:r w:rsidRPr="00976F31">
        <w:rPr>
          <w:rFonts w:cs="EUAlbertina"/>
          <w:sz w:val="20"/>
          <w:szCs w:val="20"/>
        </w:rPr>
        <w:t xml:space="preserve">In </w:t>
      </w:r>
      <w:r w:rsidR="008170EE">
        <w:rPr>
          <w:rFonts w:cs="EUAlbertina"/>
          <w:sz w:val="20"/>
          <w:szCs w:val="20"/>
        </w:rPr>
        <w:t xml:space="preserve">the </w:t>
      </w:r>
      <w:proofErr w:type="spellStart"/>
      <w:proofErr w:type="gramStart"/>
      <w:r w:rsidR="008170EE">
        <w:rPr>
          <w:rFonts w:cs="EUAlbertina"/>
          <w:sz w:val="20"/>
          <w:szCs w:val="20"/>
        </w:rPr>
        <w:t>EU</w:t>
      </w:r>
      <w:r w:rsidRPr="00976F31">
        <w:rPr>
          <w:rFonts w:cs="EUAlbertina"/>
          <w:sz w:val="20"/>
          <w:szCs w:val="20"/>
        </w:rPr>
        <w:t>,</w:t>
      </w:r>
      <w:r w:rsidR="007005F5">
        <w:rPr>
          <w:rFonts w:cs="EUAlbertina"/>
          <w:sz w:val="20"/>
          <w:szCs w:val="20"/>
        </w:rPr>
        <w:t>an</w:t>
      </w:r>
      <w:proofErr w:type="spellEnd"/>
      <w:proofErr w:type="gramEnd"/>
      <w:r w:rsidR="007005F5">
        <w:rPr>
          <w:rFonts w:cs="EUAlbertina"/>
          <w:sz w:val="20"/>
          <w:szCs w:val="20"/>
        </w:rPr>
        <w:t xml:space="preserve"> </w:t>
      </w:r>
      <w:r w:rsidRPr="00976F31">
        <w:rPr>
          <w:rFonts w:cs="EUAlbertina"/>
          <w:sz w:val="20"/>
          <w:szCs w:val="20"/>
        </w:rPr>
        <w:t>orphan designation can be granted if there is n</w:t>
      </w:r>
      <w:r w:rsidR="003F1C63" w:rsidRPr="00976F31">
        <w:rPr>
          <w:rFonts w:cs="EUAlbertina"/>
          <w:sz w:val="20"/>
          <w:szCs w:val="20"/>
        </w:rPr>
        <w:t xml:space="preserve">o satisfactory method of diagnosis, prevention or treatment authorised or </w:t>
      </w:r>
      <w:r w:rsidR="00B15735" w:rsidRPr="00976F31">
        <w:rPr>
          <w:rFonts w:cs="EUAlbertina"/>
          <w:sz w:val="20"/>
          <w:szCs w:val="20"/>
        </w:rPr>
        <w:t xml:space="preserve">a </w:t>
      </w:r>
      <w:r w:rsidRPr="00976F31">
        <w:rPr>
          <w:rFonts w:cs="EUAlbertina"/>
          <w:sz w:val="20"/>
          <w:szCs w:val="20"/>
        </w:rPr>
        <w:t xml:space="preserve">sponsor needs to demonstrate </w:t>
      </w:r>
      <w:r w:rsidR="003F1C63" w:rsidRPr="00976F31">
        <w:rPr>
          <w:rFonts w:cs="EUAlbertina"/>
          <w:sz w:val="20"/>
          <w:szCs w:val="20"/>
        </w:rPr>
        <w:t>the new medicinal product represents a significant benefit compared to existing options.</w:t>
      </w:r>
    </w:p>
    <w:p w14:paraId="3506405B" w14:textId="5410DD5D" w:rsidR="00F4492E" w:rsidRPr="00BE0B5A" w:rsidRDefault="008C500F" w:rsidP="00CF40F9">
      <w:pPr>
        <w:spacing w:after="0" w:line="360" w:lineRule="auto"/>
        <w:ind w:left="360"/>
        <w:jc w:val="both"/>
        <w:rPr>
          <w:rFonts w:cs="EUAlbertina"/>
          <w:sz w:val="20"/>
          <w:szCs w:val="20"/>
        </w:rPr>
      </w:pPr>
      <w:r w:rsidRPr="00CC1A54">
        <w:rPr>
          <w:rFonts w:cs="EUAlbertina"/>
          <w:sz w:val="20"/>
          <w:szCs w:val="20"/>
        </w:rPr>
        <w:t>In the US</w:t>
      </w:r>
      <w:r w:rsidR="00CC1A54">
        <w:rPr>
          <w:rFonts w:cs="EUAlbertina"/>
          <w:sz w:val="20"/>
          <w:szCs w:val="20"/>
        </w:rPr>
        <w:t>,</w:t>
      </w:r>
      <w:r w:rsidRPr="00CC1A54">
        <w:rPr>
          <w:rFonts w:cs="EUAlbertina"/>
          <w:sz w:val="20"/>
          <w:szCs w:val="20"/>
          <w:vertAlign w:val="superscript"/>
        </w:rPr>
        <w:t xml:space="preserve"> </w:t>
      </w:r>
      <w:r w:rsidRPr="00CC1A54">
        <w:rPr>
          <w:rFonts w:cs="EUAlbertina"/>
          <w:sz w:val="20"/>
          <w:szCs w:val="20"/>
        </w:rPr>
        <w:t xml:space="preserve">a disease with </w:t>
      </w:r>
      <w:r w:rsidR="00D14C73" w:rsidRPr="00CC1A54">
        <w:rPr>
          <w:rFonts w:cs="EUAlbertina"/>
          <w:sz w:val="20"/>
          <w:szCs w:val="20"/>
        </w:rPr>
        <w:t xml:space="preserve">unmet medical need is a condition whose treatment or diagnosis is not addressed adequately by available therapy. An unmet medical need includes an immediate need for a defined population </w:t>
      </w:r>
      <w:r w:rsidR="00CC1A54" w:rsidRPr="00CC1A54">
        <w:rPr>
          <w:rFonts w:cs="EUAlbertina"/>
          <w:sz w:val="20"/>
          <w:szCs w:val="20"/>
        </w:rPr>
        <w:t>(</w:t>
      </w:r>
      <w:r w:rsidR="00D14C73" w:rsidRPr="00CC1A54">
        <w:rPr>
          <w:rFonts w:cs="EUAlbertina"/>
          <w:sz w:val="20"/>
          <w:szCs w:val="20"/>
        </w:rPr>
        <w:t>i.e. to treat a serious condition with no or limited treatment</w:t>
      </w:r>
      <w:r w:rsidR="00CC1A54" w:rsidRPr="00CC1A54">
        <w:rPr>
          <w:rFonts w:cs="EUAlbertina"/>
          <w:sz w:val="20"/>
          <w:szCs w:val="20"/>
        </w:rPr>
        <w:t>)</w:t>
      </w:r>
      <w:r w:rsidR="00D14C73" w:rsidRPr="00CC1A54">
        <w:rPr>
          <w:rFonts w:cs="EUAlbertina"/>
          <w:sz w:val="20"/>
          <w:szCs w:val="20"/>
        </w:rPr>
        <w:t xml:space="preserve"> or a longer-term need for society</w:t>
      </w:r>
      <w:r w:rsidR="007005F5" w:rsidRPr="00CC1A54">
        <w:rPr>
          <w:rFonts w:cs="EUAlbertina"/>
          <w:sz w:val="20"/>
          <w:szCs w:val="20"/>
        </w:rPr>
        <w:t xml:space="preserve">; </w:t>
      </w:r>
      <w:r w:rsidR="00CC1A54" w:rsidRPr="00CC1A54">
        <w:rPr>
          <w:rFonts w:cs="EUAlbertina"/>
          <w:sz w:val="20"/>
          <w:szCs w:val="20"/>
        </w:rPr>
        <w:t>(</w:t>
      </w:r>
      <w:proofErr w:type="spellStart"/>
      <w:r w:rsidR="00CC1A54" w:rsidRPr="00CC1A54">
        <w:rPr>
          <w:rFonts w:cs="EUAlbertina"/>
          <w:sz w:val="20"/>
          <w:szCs w:val="20"/>
        </w:rPr>
        <w:t>e.g</w:t>
      </w:r>
      <w:proofErr w:type="spellEnd"/>
      <w:r w:rsidR="00CC1A54" w:rsidRPr="00CC1A54">
        <w:rPr>
          <w:rFonts w:cs="EUAlbertina"/>
          <w:sz w:val="20"/>
          <w:szCs w:val="20"/>
        </w:rPr>
        <w:t>,</w:t>
      </w:r>
      <w:r w:rsidR="00D14C73" w:rsidRPr="00CC1A54">
        <w:rPr>
          <w:rFonts w:cs="EUAlbertina"/>
          <w:sz w:val="20"/>
          <w:szCs w:val="20"/>
        </w:rPr>
        <w:t xml:space="preserve"> to address the development of resistance to antibacterial drugs</w:t>
      </w:r>
      <w:r w:rsidR="00CC1A54" w:rsidRPr="00CC1A54">
        <w:rPr>
          <w:rFonts w:cs="EUAlbertina"/>
          <w:sz w:val="20"/>
          <w:szCs w:val="20"/>
        </w:rPr>
        <w:t>)</w:t>
      </w:r>
      <w:r w:rsidR="00D14C73" w:rsidRPr="00CC1A54">
        <w:rPr>
          <w:rFonts w:cs="EUAlbertina"/>
          <w:sz w:val="20"/>
          <w:szCs w:val="20"/>
        </w:rPr>
        <w:t>.</w:t>
      </w:r>
      <w:r w:rsidR="00BE0B5A">
        <w:rPr>
          <w:rStyle w:val="EndnoteReference"/>
          <w:rFonts w:cs="EUAlbertina"/>
          <w:szCs w:val="20"/>
        </w:rPr>
        <w:endnoteReference w:id="10"/>
      </w:r>
    </w:p>
    <w:p w14:paraId="4BDFA692" w14:textId="77777777" w:rsidR="00F11341" w:rsidRPr="00976F31" w:rsidRDefault="00F11341" w:rsidP="00AC106D">
      <w:pPr>
        <w:pStyle w:val="ListParagraph"/>
        <w:spacing w:after="0" w:line="360" w:lineRule="auto"/>
        <w:jc w:val="both"/>
        <w:rPr>
          <w:rFonts w:cs="EUAlbertina"/>
          <w:b/>
          <w:i/>
          <w:sz w:val="20"/>
          <w:szCs w:val="20"/>
        </w:rPr>
      </w:pPr>
    </w:p>
    <w:p w14:paraId="5E05FBC4" w14:textId="77777777" w:rsidR="008A3D64" w:rsidRPr="00976F31" w:rsidRDefault="008A3D64" w:rsidP="00CF40F9">
      <w:pPr>
        <w:pStyle w:val="ListParagraph"/>
        <w:numPr>
          <w:ilvl w:val="0"/>
          <w:numId w:val="3"/>
        </w:numPr>
        <w:spacing w:after="0" w:line="360" w:lineRule="auto"/>
        <w:jc w:val="both"/>
        <w:rPr>
          <w:rFonts w:cs="EUAlbertina"/>
          <w:b/>
          <w:i/>
          <w:sz w:val="20"/>
          <w:szCs w:val="20"/>
        </w:rPr>
      </w:pPr>
      <w:r w:rsidRPr="00976F31">
        <w:rPr>
          <w:rFonts w:cs="EUAlbertina"/>
          <w:b/>
          <w:i/>
          <w:sz w:val="20"/>
          <w:szCs w:val="20"/>
        </w:rPr>
        <w:t>Prevalence</w:t>
      </w:r>
    </w:p>
    <w:p w14:paraId="2698680B" w14:textId="2BE2B859" w:rsidR="00905A1A" w:rsidRPr="00976F31" w:rsidRDefault="00905A1A" w:rsidP="00CF40F9">
      <w:pPr>
        <w:pStyle w:val="CommentText"/>
        <w:spacing w:after="0" w:line="360" w:lineRule="auto"/>
        <w:ind w:left="360"/>
        <w:rPr>
          <w:rFonts w:cs="EUAlbertina"/>
        </w:rPr>
      </w:pPr>
      <w:r w:rsidRPr="00976F31">
        <w:rPr>
          <w:rFonts w:cs="EUAlbertina"/>
        </w:rPr>
        <w:t xml:space="preserve">Different </w:t>
      </w:r>
      <w:r w:rsidR="00153D1F" w:rsidRPr="00976F31">
        <w:rPr>
          <w:rFonts w:cs="EUAlbertina"/>
        </w:rPr>
        <w:t>prevalence</w:t>
      </w:r>
      <w:r w:rsidRPr="00976F31">
        <w:rPr>
          <w:rFonts w:cs="EUAlbertina"/>
        </w:rPr>
        <w:t xml:space="preserve"> </w:t>
      </w:r>
      <w:r w:rsidR="0012450B" w:rsidRPr="00976F31">
        <w:rPr>
          <w:rFonts w:cs="EUAlbertina"/>
        </w:rPr>
        <w:t>criteria have been</w:t>
      </w:r>
      <w:r w:rsidRPr="00976F31">
        <w:rPr>
          <w:rFonts w:cs="EUAlbertina"/>
        </w:rPr>
        <w:t xml:space="preserve"> adopted by different countries and regions. There is no single definition of </w:t>
      </w:r>
      <w:r w:rsidR="007005F5">
        <w:rPr>
          <w:rFonts w:cs="EUAlbertina"/>
        </w:rPr>
        <w:t xml:space="preserve">a </w:t>
      </w:r>
      <w:r w:rsidRPr="00976F31">
        <w:rPr>
          <w:rFonts w:cs="EUAlbertina"/>
        </w:rPr>
        <w:t xml:space="preserve">rare disease. Some of the definitions are based on the number of patients affected by the disease </w:t>
      </w:r>
      <w:r w:rsidR="00B15735" w:rsidRPr="00976F31">
        <w:rPr>
          <w:rFonts w:cs="EUAlbertina"/>
        </w:rPr>
        <w:t xml:space="preserve">while </w:t>
      </w:r>
      <w:r w:rsidRPr="00976F31">
        <w:rPr>
          <w:rFonts w:cs="EUAlbertina"/>
        </w:rPr>
        <w:t xml:space="preserve">others </w:t>
      </w:r>
      <w:r w:rsidR="003A4132" w:rsidRPr="00976F31">
        <w:rPr>
          <w:rFonts w:cs="EUAlbertina"/>
        </w:rPr>
        <w:t>consider</w:t>
      </w:r>
      <w:r w:rsidRPr="00976F31">
        <w:rPr>
          <w:rFonts w:cs="EUAlbertina"/>
        </w:rPr>
        <w:t xml:space="preserve"> </w:t>
      </w:r>
      <w:r w:rsidR="00B15735" w:rsidRPr="00976F31">
        <w:rPr>
          <w:rFonts w:cs="EUAlbertina"/>
        </w:rPr>
        <w:t xml:space="preserve">different </w:t>
      </w:r>
      <w:r w:rsidRPr="00976F31">
        <w:rPr>
          <w:rFonts w:cs="EUAlbertina"/>
        </w:rPr>
        <w:t xml:space="preserve">important factors, such as the severity of the disease and the existence of adequate </w:t>
      </w:r>
      <w:r w:rsidRPr="00BE0B5A">
        <w:rPr>
          <w:rFonts w:cs="EUAlbertina"/>
        </w:rPr>
        <w:t>treatments</w:t>
      </w:r>
      <w:r w:rsidR="00B15735" w:rsidRPr="00BE0B5A">
        <w:rPr>
          <w:rFonts w:cs="EUAlbertina"/>
        </w:rPr>
        <w:t>.</w:t>
      </w:r>
      <w:r w:rsidR="00BE0B5A" w:rsidRPr="00BE0B5A">
        <w:rPr>
          <w:rFonts w:cs="EUAlbertina"/>
          <w:vertAlign w:val="superscript"/>
        </w:rPr>
        <w:fldChar w:fldCharType="begin"/>
      </w:r>
      <w:r w:rsidR="00BE0B5A" w:rsidRPr="00BE0B5A">
        <w:rPr>
          <w:rFonts w:cs="EUAlbertina"/>
          <w:vertAlign w:val="superscript"/>
        </w:rPr>
        <w:instrText xml:space="preserve"> NOTEREF _Ref531250429 \h  \* MERGEFORMAT </w:instrText>
      </w:r>
      <w:r w:rsidR="00BE0B5A" w:rsidRPr="00BE0B5A">
        <w:rPr>
          <w:rFonts w:cs="EUAlbertina"/>
          <w:vertAlign w:val="superscript"/>
        </w:rPr>
      </w:r>
      <w:r w:rsidR="00BE0B5A" w:rsidRPr="00BE0B5A">
        <w:rPr>
          <w:rFonts w:cs="EUAlbertina"/>
          <w:vertAlign w:val="superscript"/>
        </w:rPr>
        <w:fldChar w:fldCharType="separate"/>
      </w:r>
      <w:r w:rsidR="00BE0B5A">
        <w:rPr>
          <w:rFonts w:cs="EUAlbertina"/>
          <w:vertAlign w:val="superscript"/>
        </w:rPr>
        <w:t>7</w:t>
      </w:r>
      <w:r w:rsidR="00BE0B5A" w:rsidRPr="00BE0B5A">
        <w:rPr>
          <w:rFonts w:cs="EUAlbertina"/>
          <w:vertAlign w:val="superscript"/>
        </w:rPr>
        <w:fldChar w:fldCharType="end"/>
      </w:r>
    </w:p>
    <w:p w14:paraId="3FDC3FAB" w14:textId="6F41CB4E" w:rsidR="008647F3" w:rsidRPr="00976F31" w:rsidRDefault="00426025" w:rsidP="00CF40F9">
      <w:pPr>
        <w:spacing w:after="0" w:line="360" w:lineRule="auto"/>
        <w:ind w:left="360"/>
        <w:jc w:val="both"/>
        <w:rPr>
          <w:rFonts w:cs="EUAlbertina"/>
          <w:sz w:val="20"/>
          <w:szCs w:val="20"/>
        </w:rPr>
      </w:pPr>
      <w:r w:rsidRPr="00976F31">
        <w:rPr>
          <w:rFonts w:cs="EUAlbertina"/>
          <w:sz w:val="20"/>
          <w:szCs w:val="20"/>
        </w:rPr>
        <w:t xml:space="preserve">In the EU, rare diseases are those </w:t>
      </w:r>
      <w:r w:rsidR="0062228F" w:rsidRPr="00976F31">
        <w:rPr>
          <w:rFonts w:cs="EUAlbertina"/>
          <w:sz w:val="20"/>
          <w:szCs w:val="20"/>
        </w:rPr>
        <w:t xml:space="preserve">which </w:t>
      </w:r>
      <w:r w:rsidRPr="00976F31">
        <w:rPr>
          <w:rFonts w:cs="EUAlbertina"/>
          <w:sz w:val="20"/>
          <w:szCs w:val="20"/>
        </w:rPr>
        <w:t xml:space="preserve">occur in a maximum of 5 out of 10,000 people. This definition is currently being used in </w:t>
      </w:r>
      <w:r w:rsidR="003A4132" w:rsidRPr="00976F31">
        <w:rPr>
          <w:rFonts w:cs="EUAlbertina"/>
          <w:sz w:val="20"/>
          <w:szCs w:val="20"/>
        </w:rPr>
        <w:t>several</w:t>
      </w:r>
      <w:r w:rsidRPr="00976F31">
        <w:rPr>
          <w:rFonts w:cs="EUAlbertina"/>
          <w:sz w:val="20"/>
          <w:szCs w:val="20"/>
        </w:rPr>
        <w:t xml:space="preserve"> other countries including </w:t>
      </w:r>
      <w:r w:rsidR="00153D1F" w:rsidRPr="00976F31">
        <w:rPr>
          <w:rFonts w:cs="EUAlbertina"/>
          <w:sz w:val="20"/>
          <w:szCs w:val="20"/>
        </w:rPr>
        <w:t xml:space="preserve">for example in </w:t>
      </w:r>
      <w:r w:rsidRPr="00976F31">
        <w:rPr>
          <w:rFonts w:cs="EUAlbertina"/>
          <w:sz w:val="20"/>
          <w:szCs w:val="20"/>
        </w:rPr>
        <w:t>Switzerland, Argentina, Col</w:t>
      </w:r>
      <w:r w:rsidR="00414CF0" w:rsidRPr="00976F31">
        <w:rPr>
          <w:rFonts w:cs="EUAlbertina"/>
          <w:sz w:val="20"/>
          <w:szCs w:val="20"/>
        </w:rPr>
        <w:t>o</w:t>
      </w:r>
      <w:r w:rsidRPr="00976F31">
        <w:rPr>
          <w:rFonts w:cs="EUAlbertina"/>
          <w:sz w:val="20"/>
          <w:szCs w:val="20"/>
        </w:rPr>
        <w:t>mbia</w:t>
      </w:r>
      <w:r w:rsidR="00116EF4" w:rsidRPr="00976F31">
        <w:rPr>
          <w:rFonts w:cs="EUAlbertina"/>
          <w:sz w:val="20"/>
          <w:szCs w:val="20"/>
        </w:rPr>
        <w:t>,</w:t>
      </w:r>
      <w:r w:rsidRPr="00976F31">
        <w:rPr>
          <w:rFonts w:cs="EUAlbertina"/>
          <w:sz w:val="20"/>
          <w:szCs w:val="20"/>
        </w:rPr>
        <w:t xml:space="preserve"> Mexico, </w:t>
      </w:r>
      <w:r w:rsidR="00976F31" w:rsidRPr="00976F31">
        <w:rPr>
          <w:rFonts w:cs="EUAlbertina"/>
          <w:sz w:val="20"/>
          <w:szCs w:val="20"/>
        </w:rPr>
        <w:t>and Australia</w:t>
      </w:r>
      <w:r w:rsidR="00153D1F" w:rsidRPr="00976F31">
        <w:rPr>
          <w:rFonts w:cs="EUAlbertina"/>
          <w:sz w:val="20"/>
          <w:szCs w:val="20"/>
        </w:rPr>
        <w:t>.</w:t>
      </w:r>
    </w:p>
    <w:p w14:paraId="7F835C82" w14:textId="75BA4651" w:rsidR="0087546A" w:rsidRPr="00976F31" w:rsidRDefault="00426025" w:rsidP="000F2712">
      <w:pPr>
        <w:spacing w:after="0" w:line="360" w:lineRule="auto"/>
        <w:jc w:val="both"/>
        <w:rPr>
          <w:rFonts w:cs="EUAlbertina"/>
          <w:sz w:val="20"/>
          <w:szCs w:val="20"/>
        </w:rPr>
      </w:pPr>
      <w:r w:rsidRPr="00976F31">
        <w:rPr>
          <w:rFonts w:cs="EUAlbertina"/>
          <w:sz w:val="20"/>
          <w:szCs w:val="20"/>
        </w:rPr>
        <w:t xml:space="preserve">In the US, rare </w:t>
      </w:r>
      <w:r w:rsidR="002D03A2" w:rsidRPr="00976F31">
        <w:rPr>
          <w:rFonts w:cs="EUAlbertina"/>
          <w:sz w:val="20"/>
          <w:szCs w:val="20"/>
        </w:rPr>
        <w:t xml:space="preserve">diseases or </w:t>
      </w:r>
      <w:r w:rsidRPr="00976F31">
        <w:rPr>
          <w:rFonts w:cs="EUAlbertina"/>
          <w:sz w:val="20"/>
          <w:szCs w:val="20"/>
        </w:rPr>
        <w:t xml:space="preserve">conditions are </w:t>
      </w:r>
      <w:r w:rsidR="002D03A2" w:rsidRPr="00976F31">
        <w:rPr>
          <w:rFonts w:cs="EUAlbertina"/>
          <w:sz w:val="20"/>
          <w:szCs w:val="20"/>
        </w:rPr>
        <w:t>defined as “any disease or condition which (A) affects less than 200,000 persons in the United States, or (B) affects more than 200,000 in the United States and for which there is no reasonable expectation that the cost of developing and making available in the United States a drug for such disease or condition will be recovered from sales in th</w:t>
      </w:r>
      <w:r w:rsidR="00CC1A54">
        <w:rPr>
          <w:rFonts w:cs="EUAlbertina"/>
          <w:sz w:val="20"/>
          <w:szCs w:val="20"/>
        </w:rPr>
        <w:t xml:space="preserve">e United States of such drug.” </w:t>
      </w:r>
      <w:r w:rsidR="00BE0B5A">
        <w:rPr>
          <w:rStyle w:val="EndnoteReference"/>
          <w:rFonts w:cs="EUAlbertina"/>
          <w:szCs w:val="20"/>
        </w:rPr>
        <w:endnoteReference w:id="11"/>
      </w:r>
    </w:p>
    <w:p w14:paraId="43528533" w14:textId="484928ED" w:rsidR="00A55F0C" w:rsidRPr="00976F31" w:rsidRDefault="00426025" w:rsidP="00B15F8C">
      <w:pPr>
        <w:spacing w:after="0" w:line="360" w:lineRule="auto"/>
        <w:jc w:val="both"/>
        <w:rPr>
          <w:rFonts w:cs="EUAlbertina"/>
          <w:b/>
          <w:bCs/>
          <w:sz w:val="20"/>
          <w:szCs w:val="20"/>
        </w:rPr>
      </w:pPr>
      <w:r w:rsidRPr="00976F31">
        <w:rPr>
          <w:rFonts w:cs="EUAlbertina"/>
          <w:sz w:val="20"/>
          <w:szCs w:val="20"/>
        </w:rPr>
        <w:lastRenderedPageBreak/>
        <w:t xml:space="preserve">In Japan the threshold is set at </w:t>
      </w:r>
      <w:r w:rsidR="00AC106D" w:rsidRPr="00976F31">
        <w:rPr>
          <w:rFonts w:cs="EUAlbertina"/>
          <w:sz w:val="20"/>
          <w:szCs w:val="20"/>
        </w:rPr>
        <w:t>50,000 but</w:t>
      </w:r>
      <w:r w:rsidRPr="00976F31">
        <w:rPr>
          <w:rFonts w:cs="EUAlbertina"/>
          <w:sz w:val="20"/>
          <w:szCs w:val="20"/>
        </w:rPr>
        <w:t xml:space="preserve"> was expanded in 2015 to cover also ‘intractable diseases’ affecting up to 180,000 Japanese (0,1% of population). </w:t>
      </w:r>
      <w:r w:rsidR="00FF1E3D" w:rsidRPr="00B15F8C">
        <w:rPr>
          <w:rFonts w:cs="EUAlbertina"/>
          <w:sz w:val="20"/>
          <w:szCs w:val="20"/>
        </w:rPr>
        <w:t xml:space="preserve">However, </w:t>
      </w:r>
      <w:r w:rsidR="00647B5B" w:rsidRPr="00B15F8C">
        <w:rPr>
          <w:rFonts w:cs="EUAlbertina"/>
          <w:sz w:val="20"/>
          <w:szCs w:val="20"/>
        </w:rPr>
        <w:t xml:space="preserve">it will be </w:t>
      </w:r>
      <w:r w:rsidR="00BC44A0" w:rsidRPr="00B15F8C">
        <w:rPr>
          <w:rFonts w:cs="EUAlbertina"/>
          <w:sz w:val="20"/>
          <w:szCs w:val="20"/>
        </w:rPr>
        <w:t xml:space="preserve">even more </w:t>
      </w:r>
      <w:r w:rsidR="00647B5B" w:rsidRPr="00B15F8C">
        <w:rPr>
          <w:rFonts w:cs="EUAlbertina"/>
          <w:sz w:val="20"/>
          <w:szCs w:val="20"/>
        </w:rPr>
        <w:t>challeng</w:t>
      </w:r>
      <w:r w:rsidR="006D12DD" w:rsidRPr="00B15F8C">
        <w:rPr>
          <w:rFonts w:cs="EUAlbertina"/>
          <w:sz w:val="20"/>
          <w:szCs w:val="20"/>
        </w:rPr>
        <w:t>ing</w:t>
      </w:r>
      <w:r w:rsidR="00647B5B" w:rsidRPr="00B15F8C">
        <w:rPr>
          <w:rFonts w:cs="EUAlbertina"/>
          <w:sz w:val="20"/>
          <w:szCs w:val="20"/>
        </w:rPr>
        <w:t xml:space="preserve"> to estimate prevalence </w:t>
      </w:r>
      <w:r w:rsidR="00FF1E3D" w:rsidRPr="00B15F8C">
        <w:rPr>
          <w:rFonts w:cs="EUAlbertina"/>
          <w:sz w:val="20"/>
          <w:szCs w:val="20"/>
        </w:rPr>
        <w:t xml:space="preserve">of rare diseases </w:t>
      </w:r>
      <w:r w:rsidR="008170EE" w:rsidRPr="00B15F8C">
        <w:rPr>
          <w:rFonts w:cs="EUAlbertina"/>
          <w:sz w:val="20"/>
          <w:szCs w:val="20"/>
        </w:rPr>
        <w:t xml:space="preserve">in </w:t>
      </w:r>
      <w:r w:rsidR="00FF1E3D" w:rsidRPr="00B15F8C">
        <w:rPr>
          <w:rFonts w:cs="EUAlbertina"/>
          <w:sz w:val="20"/>
          <w:szCs w:val="20"/>
        </w:rPr>
        <w:t xml:space="preserve">emerging markets since epidemiological data for most rare diseases are </w:t>
      </w:r>
      <w:r w:rsidR="00B15735" w:rsidRPr="00B15F8C">
        <w:rPr>
          <w:rFonts w:cs="EUAlbertina"/>
          <w:sz w:val="20"/>
          <w:szCs w:val="20"/>
        </w:rPr>
        <w:t xml:space="preserve">either </w:t>
      </w:r>
      <w:r w:rsidR="00FF1E3D" w:rsidRPr="00B15F8C">
        <w:rPr>
          <w:rFonts w:cs="EUAlbertina"/>
          <w:sz w:val="20"/>
          <w:szCs w:val="20"/>
        </w:rPr>
        <w:t>not available</w:t>
      </w:r>
      <w:r w:rsidR="00153D1F" w:rsidRPr="00B15F8C">
        <w:rPr>
          <w:rFonts w:cs="EUAlbertina"/>
          <w:sz w:val="20"/>
          <w:szCs w:val="20"/>
        </w:rPr>
        <w:t xml:space="preserve"> </w:t>
      </w:r>
      <w:r w:rsidR="00B15735" w:rsidRPr="00B15F8C">
        <w:rPr>
          <w:rFonts w:cs="EUAlbertina"/>
          <w:sz w:val="20"/>
          <w:szCs w:val="20"/>
        </w:rPr>
        <w:t xml:space="preserve">at all </w:t>
      </w:r>
      <w:r w:rsidR="00153D1F" w:rsidRPr="00B15F8C">
        <w:rPr>
          <w:rFonts w:cs="EUAlbertina"/>
          <w:sz w:val="20"/>
          <w:szCs w:val="20"/>
        </w:rPr>
        <w:t xml:space="preserve">or </w:t>
      </w:r>
      <w:r w:rsidR="00B15735" w:rsidRPr="00B15F8C">
        <w:rPr>
          <w:rFonts w:cs="EUAlbertina"/>
          <w:sz w:val="20"/>
          <w:szCs w:val="20"/>
        </w:rPr>
        <w:t xml:space="preserve">only in a </w:t>
      </w:r>
      <w:r w:rsidR="00153D1F" w:rsidRPr="00B15F8C">
        <w:rPr>
          <w:rFonts w:cs="EUAlbertina"/>
          <w:sz w:val="20"/>
          <w:szCs w:val="20"/>
        </w:rPr>
        <w:t xml:space="preserve">limited </w:t>
      </w:r>
      <w:r w:rsidR="00B15735" w:rsidRPr="00B15F8C">
        <w:rPr>
          <w:rFonts w:cs="EUAlbertina"/>
          <w:sz w:val="20"/>
          <w:szCs w:val="20"/>
        </w:rPr>
        <w:t>manner</w:t>
      </w:r>
      <w:r w:rsidR="00FF1E3D" w:rsidRPr="00B15F8C">
        <w:rPr>
          <w:rFonts w:cs="EUAlbertina"/>
          <w:sz w:val="20"/>
          <w:szCs w:val="20"/>
        </w:rPr>
        <w:t xml:space="preserve">. The primary reasons why such epidemiological data are often lacking could </w:t>
      </w:r>
      <w:r w:rsidR="00414CF0" w:rsidRPr="00B15F8C">
        <w:rPr>
          <w:rFonts w:cs="EUAlbertina"/>
          <w:sz w:val="20"/>
          <w:szCs w:val="20"/>
        </w:rPr>
        <w:t xml:space="preserve">be </w:t>
      </w:r>
      <w:r w:rsidR="00FF1E3D" w:rsidRPr="00B15F8C">
        <w:rPr>
          <w:rFonts w:cs="EUAlbertina"/>
          <w:sz w:val="20"/>
          <w:szCs w:val="20"/>
        </w:rPr>
        <w:t>due to</w:t>
      </w:r>
      <w:r w:rsidR="00EF2DA8" w:rsidRPr="00B15F8C">
        <w:rPr>
          <w:rFonts w:cs="EUAlbertina"/>
          <w:sz w:val="20"/>
          <w:szCs w:val="20"/>
        </w:rPr>
        <w:t xml:space="preserve"> inability of, or delay in, diagnosis or</w:t>
      </w:r>
      <w:r w:rsidR="00FF1E3D" w:rsidRPr="00B15F8C">
        <w:rPr>
          <w:rFonts w:cs="EUAlbertina"/>
          <w:sz w:val="20"/>
          <w:szCs w:val="20"/>
        </w:rPr>
        <w:t xml:space="preserve"> the absence of proper classification for rare diseases and the absence of </w:t>
      </w:r>
      <w:r w:rsidR="0055135D" w:rsidRPr="00B15F8C">
        <w:rPr>
          <w:rFonts w:cs="EUAlbertina"/>
          <w:sz w:val="20"/>
          <w:szCs w:val="20"/>
        </w:rPr>
        <w:t xml:space="preserve">publications and </w:t>
      </w:r>
      <w:r w:rsidR="00280337" w:rsidRPr="00B15F8C">
        <w:rPr>
          <w:rFonts w:cs="EUAlbertina"/>
          <w:sz w:val="20"/>
          <w:szCs w:val="20"/>
        </w:rPr>
        <w:t xml:space="preserve">disease registries </w:t>
      </w:r>
      <w:r w:rsidR="00B13820" w:rsidRPr="00B15F8C">
        <w:rPr>
          <w:rFonts w:cs="EUAlbertina"/>
          <w:sz w:val="20"/>
          <w:szCs w:val="20"/>
        </w:rPr>
        <w:t>in</w:t>
      </w:r>
      <w:r w:rsidR="00FF1E3D" w:rsidRPr="00B15F8C">
        <w:rPr>
          <w:rFonts w:cs="EUAlbertina"/>
          <w:sz w:val="20"/>
          <w:szCs w:val="20"/>
        </w:rPr>
        <w:t xml:space="preserve"> those market</w:t>
      </w:r>
      <w:r w:rsidR="00280337" w:rsidRPr="00B15F8C">
        <w:rPr>
          <w:rFonts w:cs="EUAlbertina"/>
          <w:sz w:val="20"/>
          <w:szCs w:val="20"/>
        </w:rPr>
        <w:t>s</w:t>
      </w:r>
      <w:r w:rsidR="00FF1E3D" w:rsidRPr="00B15F8C">
        <w:rPr>
          <w:rFonts w:cs="EUAlbertina"/>
          <w:sz w:val="20"/>
          <w:szCs w:val="20"/>
        </w:rPr>
        <w:t>.</w:t>
      </w:r>
      <w:r w:rsidR="00663009" w:rsidRPr="00B15F8C">
        <w:rPr>
          <w:rFonts w:cs="EUAlbertina"/>
          <w:sz w:val="20"/>
          <w:szCs w:val="20"/>
        </w:rPr>
        <w:t xml:space="preserve"> </w:t>
      </w:r>
      <w:r w:rsidR="007C1070" w:rsidRPr="00B15F8C">
        <w:rPr>
          <w:rFonts w:cs="EUAlbertina"/>
          <w:sz w:val="20"/>
          <w:szCs w:val="20"/>
        </w:rPr>
        <w:t xml:space="preserve">Moreover, </w:t>
      </w:r>
      <w:r w:rsidR="00B15735" w:rsidRPr="00B15F8C">
        <w:rPr>
          <w:rFonts w:cs="EUAlbertina"/>
          <w:sz w:val="20"/>
          <w:szCs w:val="20"/>
        </w:rPr>
        <w:t xml:space="preserve">the </w:t>
      </w:r>
      <w:r w:rsidR="007C1070" w:rsidRPr="00B15F8C">
        <w:rPr>
          <w:rFonts w:cs="EUAlbertina"/>
          <w:sz w:val="20"/>
          <w:szCs w:val="20"/>
        </w:rPr>
        <w:t>standard of care based on resources, culture and other socioeconomic factors may also play an important role.</w:t>
      </w:r>
      <w:r w:rsidR="00B15F8C">
        <w:rPr>
          <w:rFonts w:cs="EUAlbertina"/>
          <w:sz w:val="20"/>
          <w:szCs w:val="20"/>
        </w:rPr>
        <w:t xml:space="preserve"> </w:t>
      </w:r>
      <w:r w:rsidR="00A55F0C" w:rsidRPr="00180AE3">
        <w:rPr>
          <w:rFonts w:cs="EUAlbertina"/>
          <w:sz w:val="20"/>
          <w:szCs w:val="20"/>
        </w:rPr>
        <w:t xml:space="preserve">Until recently there was no systematic effort to establish an inventory of rare disorders. </w:t>
      </w:r>
      <w:r w:rsidR="00B15735" w:rsidRPr="00180AE3">
        <w:rPr>
          <w:rFonts w:cs="EUAlbertina"/>
          <w:sz w:val="20"/>
          <w:szCs w:val="20"/>
        </w:rPr>
        <w:t>R</w:t>
      </w:r>
      <w:r w:rsidR="00A55F0C" w:rsidRPr="00180AE3">
        <w:rPr>
          <w:rFonts w:cs="EUAlbertina"/>
          <w:sz w:val="20"/>
          <w:szCs w:val="20"/>
        </w:rPr>
        <w:t>ecogni</w:t>
      </w:r>
      <w:r w:rsidR="00B15735" w:rsidRPr="00180AE3">
        <w:rPr>
          <w:rFonts w:cs="EUAlbertina"/>
          <w:sz w:val="20"/>
          <w:szCs w:val="20"/>
        </w:rPr>
        <w:t>tion should</w:t>
      </w:r>
      <w:r w:rsidR="00C03B6B" w:rsidRPr="00180AE3">
        <w:rPr>
          <w:rFonts w:cs="EUAlbertina"/>
          <w:sz w:val="20"/>
          <w:szCs w:val="20"/>
        </w:rPr>
        <w:t>,</w:t>
      </w:r>
      <w:r w:rsidR="00B15735" w:rsidRPr="00180AE3">
        <w:rPr>
          <w:rFonts w:cs="EUAlbertina"/>
          <w:sz w:val="20"/>
          <w:szCs w:val="20"/>
        </w:rPr>
        <w:t xml:space="preserve"> however</w:t>
      </w:r>
      <w:r w:rsidR="00C03B6B" w:rsidRPr="00180AE3">
        <w:rPr>
          <w:rFonts w:cs="EUAlbertina"/>
          <w:sz w:val="20"/>
          <w:szCs w:val="20"/>
        </w:rPr>
        <w:t>,</w:t>
      </w:r>
      <w:r w:rsidR="00B15735" w:rsidRPr="00180AE3">
        <w:rPr>
          <w:rFonts w:cs="EUAlbertina"/>
          <w:sz w:val="20"/>
          <w:szCs w:val="20"/>
        </w:rPr>
        <w:t xml:space="preserve"> be given to the </w:t>
      </w:r>
      <w:r w:rsidR="00A55F0C" w:rsidRPr="00180AE3">
        <w:rPr>
          <w:rFonts w:cs="EUAlbertina"/>
          <w:sz w:val="20"/>
          <w:szCs w:val="20"/>
        </w:rPr>
        <w:t>revision of the 11</w:t>
      </w:r>
      <w:r w:rsidR="00A55F0C" w:rsidRPr="00180AE3">
        <w:rPr>
          <w:rFonts w:cs="EUAlbertina"/>
          <w:sz w:val="20"/>
          <w:szCs w:val="20"/>
          <w:vertAlign w:val="superscript"/>
        </w:rPr>
        <w:t>th</w:t>
      </w:r>
      <w:r w:rsidR="00C01186">
        <w:rPr>
          <w:rFonts w:cs="EUAlbertina"/>
          <w:sz w:val="20"/>
          <w:szCs w:val="20"/>
        </w:rPr>
        <w:t xml:space="preserve"> </w:t>
      </w:r>
      <w:r w:rsidR="00A55F0C" w:rsidRPr="00180AE3">
        <w:rPr>
          <w:rFonts w:cs="EUAlbertina"/>
          <w:sz w:val="20"/>
          <w:szCs w:val="20"/>
        </w:rPr>
        <w:t>International Classification of Diseases (ICD)</w:t>
      </w:r>
      <w:r w:rsidR="00C03B6B" w:rsidRPr="00180AE3">
        <w:rPr>
          <w:rFonts w:cs="EUAlbertina"/>
          <w:sz w:val="20"/>
          <w:szCs w:val="20"/>
        </w:rPr>
        <w:t>,</w:t>
      </w:r>
      <w:r w:rsidR="00A55F0C" w:rsidRPr="00180AE3">
        <w:rPr>
          <w:rFonts w:cs="EUAlbertina"/>
          <w:sz w:val="20"/>
          <w:szCs w:val="20"/>
        </w:rPr>
        <w:t xml:space="preserve"> making rare diseases visible in health information systems through appropriate coding. WHO has set up Topic Advisory Groups (TAG) Rare Diseases formed by ORPHANET. Collaboration is expanding to US NIH, Japan, India and South </w:t>
      </w:r>
      <w:r w:rsidR="00A55F0C" w:rsidRPr="00BE0B5A">
        <w:rPr>
          <w:rFonts w:cs="EUAlbertina"/>
          <w:sz w:val="20"/>
          <w:szCs w:val="20"/>
        </w:rPr>
        <w:t>Africa.</w:t>
      </w:r>
      <w:r w:rsidR="00BE0B5A">
        <w:rPr>
          <w:rStyle w:val="EndnoteReference"/>
          <w:rFonts w:cs="EUAlbertina"/>
          <w:szCs w:val="20"/>
        </w:rPr>
        <w:endnoteReference w:id="12"/>
      </w:r>
    </w:p>
    <w:p w14:paraId="7EA9816A" w14:textId="7446CE0E" w:rsidR="007C1070" w:rsidRDefault="007C1070" w:rsidP="00180AE3">
      <w:pPr>
        <w:spacing w:after="0" w:line="360" w:lineRule="auto"/>
        <w:jc w:val="both"/>
        <w:rPr>
          <w:rFonts w:cs="EUAlbertina"/>
          <w:sz w:val="20"/>
          <w:szCs w:val="20"/>
        </w:rPr>
      </w:pPr>
      <w:r w:rsidRPr="00976F31">
        <w:rPr>
          <w:rFonts w:cs="EUAlbertina"/>
          <w:sz w:val="20"/>
          <w:szCs w:val="20"/>
        </w:rPr>
        <w:t xml:space="preserve">In close consultation with various stakeholders including industry, academia, clinicians, and patients, governments should establish a regular and transparent process for reviewing and updating their definition of rare disease and orphan drugs. This consultation should provide adequate time for all parties to consider adjustments and submit </w:t>
      </w:r>
      <w:r w:rsidR="00AC106D" w:rsidRPr="00976F31">
        <w:rPr>
          <w:rFonts w:cs="EUAlbertina"/>
          <w:sz w:val="20"/>
          <w:szCs w:val="20"/>
        </w:rPr>
        <w:t>feedback and</w:t>
      </w:r>
      <w:r w:rsidRPr="00976F31">
        <w:rPr>
          <w:rFonts w:cs="EUAlbertina"/>
          <w:sz w:val="20"/>
          <w:szCs w:val="20"/>
        </w:rPr>
        <w:t xml:space="preserve"> can be organized under a dedicated cross-agency working group or public forum.</w:t>
      </w:r>
    </w:p>
    <w:p w14:paraId="5B5BF67B" w14:textId="77777777" w:rsidR="00063AFD" w:rsidRDefault="00063AFD" w:rsidP="00180AE3">
      <w:pPr>
        <w:spacing w:after="0" w:line="360" w:lineRule="auto"/>
        <w:jc w:val="both"/>
        <w:rPr>
          <w:rFonts w:cs="EUAlbertina"/>
          <w:sz w:val="20"/>
          <w:szCs w:val="20"/>
        </w:rPr>
      </w:pPr>
    </w:p>
    <w:p w14:paraId="2945247D" w14:textId="5C9591CC" w:rsidR="007005F5" w:rsidRPr="00180AE3" w:rsidRDefault="007005F5" w:rsidP="00180AE3">
      <w:pPr>
        <w:pBdr>
          <w:top w:val="single" w:sz="4" w:space="1" w:color="auto"/>
          <w:left w:val="single" w:sz="4" w:space="4" w:color="auto"/>
          <w:bottom w:val="single" w:sz="4" w:space="1" w:color="auto"/>
          <w:right w:val="single" w:sz="4" w:space="4" w:color="auto"/>
        </w:pBdr>
        <w:spacing w:after="0"/>
        <w:jc w:val="both"/>
        <w:rPr>
          <w:b/>
          <w:bCs/>
          <w:i/>
          <w:sz w:val="20"/>
          <w:szCs w:val="20"/>
        </w:rPr>
      </w:pPr>
      <w:r w:rsidRPr="00180AE3">
        <w:rPr>
          <w:b/>
          <w:bCs/>
          <w:i/>
          <w:sz w:val="20"/>
          <w:szCs w:val="20"/>
        </w:rPr>
        <w:t>EFPIA recommendations</w:t>
      </w:r>
    </w:p>
    <w:p w14:paraId="751F00C2" w14:textId="0B78242A" w:rsidR="00C57DD6" w:rsidRPr="00976F31" w:rsidRDefault="008A3D64" w:rsidP="00180AE3">
      <w:pPr>
        <w:pBdr>
          <w:top w:val="single" w:sz="4" w:space="1" w:color="auto"/>
          <w:left w:val="single" w:sz="4" w:space="4" w:color="auto"/>
          <w:bottom w:val="single" w:sz="4" w:space="1" w:color="auto"/>
          <w:right w:val="single" w:sz="4" w:space="4" w:color="auto"/>
        </w:pBdr>
        <w:spacing w:after="0"/>
        <w:jc w:val="both"/>
        <w:rPr>
          <w:bCs/>
          <w:i/>
          <w:sz w:val="20"/>
          <w:szCs w:val="20"/>
        </w:rPr>
      </w:pPr>
      <w:r w:rsidRPr="00180AE3">
        <w:rPr>
          <w:bCs/>
          <w:i/>
          <w:sz w:val="20"/>
          <w:szCs w:val="20"/>
        </w:rPr>
        <w:t xml:space="preserve">EFPIA </w:t>
      </w:r>
      <w:r w:rsidR="006A625A">
        <w:rPr>
          <w:bCs/>
          <w:i/>
          <w:sz w:val="20"/>
          <w:szCs w:val="20"/>
        </w:rPr>
        <w:t>believe</w:t>
      </w:r>
      <w:r w:rsidR="007005F5" w:rsidRPr="00180AE3">
        <w:rPr>
          <w:bCs/>
          <w:i/>
          <w:sz w:val="20"/>
          <w:szCs w:val="20"/>
        </w:rPr>
        <w:t xml:space="preserve">s </w:t>
      </w:r>
      <w:r w:rsidR="006A625A">
        <w:rPr>
          <w:bCs/>
          <w:i/>
          <w:sz w:val="20"/>
          <w:szCs w:val="20"/>
        </w:rPr>
        <w:t xml:space="preserve">it is important to </w:t>
      </w:r>
      <w:r w:rsidRPr="00180AE3">
        <w:rPr>
          <w:bCs/>
          <w:i/>
          <w:sz w:val="20"/>
          <w:szCs w:val="20"/>
        </w:rPr>
        <w:t>ensur</w:t>
      </w:r>
      <w:r w:rsidR="006A625A">
        <w:rPr>
          <w:bCs/>
          <w:i/>
          <w:sz w:val="20"/>
          <w:szCs w:val="20"/>
        </w:rPr>
        <w:t>e</w:t>
      </w:r>
      <w:r w:rsidRPr="00180AE3">
        <w:rPr>
          <w:bCs/>
          <w:i/>
          <w:sz w:val="20"/>
          <w:szCs w:val="20"/>
        </w:rPr>
        <w:t xml:space="preserve"> </w:t>
      </w:r>
      <w:r w:rsidR="003430F6" w:rsidRPr="00180AE3">
        <w:rPr>
          <w:bCs/>
          <w:i/>
          <w:sz w:val="20"/>
          <w:szCs w:val="20"/>
        </w:rPr>
        <w:t xml:space="preserve">alignment </w:t>
      </w:r>
      <w:r w:rsidR="00CF40F9">
        <w:rPr>
          <w:bCs/>
          <w:i/>
          <w:sz w:val="20"/>
          <w:szCs w:val="20"/>
        </w:rPr>
        <w:t xml:space="preserve">and transparency </w:t>
      </w:r>
      <w:r w:rsidR="003430F6" w:rsidRPr="00180AE3">
        <w:rPr>
          <w:bCs/>
          <w:i/>
          <w:sz w:val="20"/>
          <w:szCs w:val="20"/>
        </w:rPr>
        <w:t xml:space="preserve">on </w:t>
      </w:r>
      <w:r w:rsidR="007005F5" w:rsidRPr="00180AE3">
        <w:rPr>
          <w:bCs/>
          <w:i/>
          <w:sz w:val="20"/>
          <w:szCs w:val="20"/>
        </w:rPr>
        <w:t xml:space="preserve">regulatory pathways for </w:t>
      </w:r>
      <w:r w:rsidR="003430F6" w:rsidRPr="00180AE3">
        <w:rPr>
          <w:bCs/>
          <w:i/>
          <w:sz w:val="20"/>
          <w:szCs w:val="20"/>
        </w:rPr>
        <w:t>rare diseases and Orphan Medicinal Product</w:t>
      </w:r>
      <w:r w:rsidR="00D04124" w:rsidRPr="00180AE3">
        <w:rPr>
          <w:bCs/>
          <w:i/>
          <w:sz w:val="20"/>
          <w:szCs w:val="20"/>
        </w:rPr>
        <w:t xml:space="preserve">s </w:t>
      </w:r>
      <w:r w:rsidR="003430F6" w:rsidRPr="00180AE3">
        <w:rPr>
          <w:bCs/>
          <w:i/>
          <w:sz w:val="20"/>
          <w:szCs w:val="20"/>
        </w:rPr>
        <w:t xml:space="preserve">in collaboration with industry, regulators and the broader rare disease </w:t>
      </w:r>
      <w:r w:rsidR="00AC106D" w:rsidRPr="00180AE3">
        <w:rPr>
          <w:bCs/>
          <w:i/>
          <w:sz w:val="20"/>
          <w:szCs w:val="20"/>
        </w:rPr>
        <w:t>community.</w:t>
      </w:r>
      <w:r w:rsidR="003430F6" w:rsidRPr="00180AE3">
        <w:rPr>
          <w:bCs/>
          <w:i/>
          <w:sz w:val="20"/>
          <w:szCs w:val="20"/>
        </w:rPr>
        <w:t xml:space="preserve"> </w:t>
      </w:r>
      <w:r w:rsidR="00D95339">
        <w:rPr>
          <w:bCs/>
          <w:i/>
          <w:sz w:val="20"/>
          <w:szCs w:val="20"/>
        </w:rPr>
        <w:t>And</w:t>
      </w:r>
      <w:r w:rsidR="003430F6" w:rsidRPr="00180AE3">
        <w:rPr>
          <w:bCs/>
          <w:i/>
          <w:sz w:val="20"/>
          <w:szCs w:val="20"/>
        </w:rPr>
        <w:t xml:space="preserve"> that</w:t>
      </w:r>
      <w:r w:rsidR="00B909DE" w:rsidRPr="00180AE3">
        <w:rPr>
          <w:bCs/>
          <w:i/>
          <w:sz w:val="20"/>
          <w:szCs w:val="20"/>
        </w:rPr>
        <w:t xml:space="preserve"> </w:t>
      </w:r>
      <w:r w:rsidR="00744AA7" w:rsidRPr="00180AE3">
        <w:rPr>
          <w:rFonts w:cs="EUAlbertina"/>
          <w:i/>
          <w:sz w:val="20"/>
          <w:szCs w:val="20"/>
        </w:rPr>
        <w:t xml:space="preserve">for any new </w:t>
      </w:r>
      <w:r w:rsidR="00A3514B" w:rsidRPr="00180AE3">
        <w:rPr>
          <w:rFonts w:cs="EUAlbertina"/>
          <w:i/>
          <w:sz w:val="20"/>
          <w:szCs w:val="20"/>
        </w:rPr>
        <w:t xml:space="preserve">orphan medicinal products </w:t>
      </w:r>
      <w:r w:rsidR="00744AA7" w:rsidRPr="00180AE3">
        <w:rPr>
          <w:rFonts w:cs="EUAlbertina"/>
          <w:i/>
          <w:sz w:val="20"/>
          <w:szCs w:val="20"/>
        </w:rPr>
        <w:t xml:space="preserve">regulation </w:t>
      </w:r>
      <w:r w:rsidR="00A3514B" w:rsidRPr="00180AE3">
        <w:rPr>
          <w:rFonts w:cs="EUAlbertina"/>
          <w:i/>
          <w:sz w:val="20"/>
          <w:szCs w:val="20"/>
        </w:rPr>
        <w:t xml:space="preserve">or guidance </w:t>
      </w:r>
      <w:r w:rsidR="00744AA7" w:rsidRPr="00180AE3">
        <w:rPr>
          <w:rFonts w:cs="EUAlbertina"/>
          <w:i/>
          <w:sz w:val="20"/>
          <w:szCs w:val="20"/>
        </w:rPr>
        <w:t xml:space="preserve">being issued </w:t>
      </w:r>
      <w:r w:rsidR="00E13D11" w:rsidRPr="00180AE3">
        <w:rPr>
          <w:rFonts w:cs="EUAlbertina"/>
          <w:i/>
          <w:sz w:val="20"/>
          <w:szCs w:val="20"/>
        </w:rPr>
        <w:t xml:space="preserve">in emerging markets </w:t>
      </w:r>
      <w:r w:rsidR="00B909DE" w:rsidRPr="00180AE3">
        <w:rPr>
          <w:rFonts w:cs="EUAlbertina"/>
          <w:i/>
          <w:sz w:val="20"/>
          <w:szCs w:val="20"/>
        </w:rPr>
        <w:t xml:space="preserve">there is </w:t>
      </w:r>
      <w:r w:rsidR="00744AA7" w:rsidRPr="00180AE3">
        <w:rPr>
          <w:rFonts w:cs="EUAlbertina"/>
          <w:i/>
          <w:sz w:val="20"/>
          <w:szCs w:val="20"/>
        </w:rPr>
        <w:t xml:space="preserve">a common definition of rare disease </w:t>
      </w:r>
      <w:r w:rsidR="00A3514B" w:rsidRPr="00180AE3">
        <w:rPr>
          <w:rFonts w:cs="EUAlbertina"/>
          <w:i/>
          <w:sz w:val="20"/>
          <w:szCs w:val="20"/>
        </w:rPr>
        <w:t>containing</w:t>
      </w:r>
      <w:r w:rsidR="00744AA7" w:rsidRPr="00180AE3">
        <w:rPr>
          <w:bCs/>
          <w:i/>
          <w:sz w:val="20"/>
          <w:szCs w:val="20"/>
        </w:rPr>
        <w:t xml:space="preserve"> </w:t>
      </w:r>
      <w:r w:rsidR="00A3514B" w:rsidRPr="00180AE3">
        <w:rPr>
          <w:bCs/>
          <w:i/>
          <w:sz w:val="20"/>
          <w:szCs w:val="20"/>
        </w:rPr>
        <w:t xml:space="preserve">the </w:t>
      </w:r>
      <w:r w:rsidR="00744AA7" w:rsidRPr="00180AE3">
        <w:rPr>
          <w:bCs/>
          <w:i/>
          <w:sz w:val="20"/>
          <w:szCs w:val="20"/>
        </w:rPr>
        <w:t>restriction to life threatening and chronically debilitating conditions with a prevalence</w:t>
      </w:r>
      <w:r w:rsidR="00744AA7" w:rsidRPr="00180AE3">
        <w:rPr>
          <w:rFonts w:cs="EUAlbertina"/>
          <w:i/>
          <w:sz w:val="20"/>
          <w:szCs w:val="20"/>
        </w:rPr>
        <w:t xml:space="preserve"> that converge</w:t>
      </w:r>
      <w:r w:rsidR="0022213D" w:rsidRPr="00180AE3">
        <w:rPr>
          <w:rFonts w:cs="EUAlbertina"/>
          <w:i/>
          <w:sz w:val="20"/>
          <w:szCs w:val="20"/>
        </w:rPr>
        <w:t>s</w:t>
      </w:r>
      <w:r w:rsidR="00744AA7" w:rsidRPr="00180AE3">
        <w:rPr>
          <w:rFonts w:cs="EUAlbertina"/>
          <w:i/>
          <w:sz w:val="20"/>
          <w:szCs w:val="20"/>
        </w:rPr>
        <w:t xml:space="preserve"> toward</w:t>
      </w:r>
      <w:r w:rsidR="00FA4748" w:rsidRPr="00180AE3">
        <w:rPr>
          <w:rFonts w:cs="EUAlbertina"/>
          <w:i/>
          <w:sz w:val="20"/>
          <w:szCs w:val="20"/>
        </w:rPr>
        <w:t>s</w:t>
      </w:r>
      <w:r w:rsidR="00744AA7" w:rsidRPr="00180AE3">
        <w:rPr>
          <w:rFonts w:cs="EUAlbertina"/>
          <w:i/>
          <w:sz w:val="20"/>
          <w:szCs w:val="20"/>
        </w:rPr>
        <w:t xml:space="preserve"> the EU prevalence criteria of a maximum of 5 per 10</w:t>
      </w:r>
      <w:r w:rsidR="007005F5" w:rsidRPr="00180AE3">
        <w:rPr>
          <w:rFonts w:cs="EUAlbertina"/>
          <w:i/>
          <w:sz w:val="20"/>
          <w:szCs w:val="20"/>
        </w:rPr>
        <w:t>,</w:t>
      </w:r>
      <w:r w:rsidR="00744AA7" w:rsidRPr="00180AE3">
        <w:rPr>
          <w:rFonts w:cs="EUAlbertina"/>
          <w:i/>
          <w:sz w:val="20"/>
          <w:szCs w:val="20"/>
        </w:rPr>
        <w:t xml:space="preserve">000 inhabitants. </w:t>
      </w:r>
      <w:r w:rsidR="00FA4748" w:rsidRPr="00180AE3">
        <w:rPr>
          <w:rFonts w:cs="EUAlbertina"/>
          <w:i/>
          <w:sz w:val="20"/>
          <w:szCs w:val="20"/>
        </w:rPr>
        <w:t>This definition</w:t>
      </w:r>
      <w:r w:rsidR="00744AA7" w:rsidRPr="00180AE3">
        <w:rPr>
          <w:rFonts w:cs="EUAlbertina"/>
          <w:i/>
          <w:sz w:val="20"/>
          <w:szCs w:val="20"/>
        </w:rPr>
        <w:t xml:space="preserve"> can cover most diseases with unmet medical need and can accommodate changes in country population over time.</w:t>
      </w:r>
      <w:r w:rsidR="00FA4748" w:rsidRPr="00180AE3">
        <w:rPr>
          <w:rFonts w:cs="EUAlbertina"/>
          <w:i/>
          <w:sz w:val="20"/>
          <w:szCs w:val="20"/>
        </w:rPr>
        <w:t xml:space="preserve"> </w:t>
      </w:r>
      <w:r w:rsidR="00063D67" w:rsidRPr="00976F31">
        <w:rPr>
          <w:bCs/>
          <w:i/>
          <w:sz w:val="20"/>
          <w:szCs w:val="20"/>
        </w:rPr>
        <w:t>Th</w:t>
      </w:r>
      <w:r w:rsidR="00CF1251">
        <w:rPr>
          <w:bCs/>
          <w:i/>
          <w:sz w:val="20"/>
          <w:szCs w:val="20"/>
        </w:rPr>
        <w:t>erefore,</w:t>
      </w:r>
      <w:r w:rsidR="00063D67" w:rsidRPr="00976F31">
        <w:rPr>
          <w:bCs/>
          <w:i/>
          <w:sz w:val="20"/>
          <w:szCs w:val="20"/>
        </w:rPr>
        <w:t xml:space="preserve"> a legislative definition and classification of rare diseases and accurate data on the epidemiology of rare diseases</w:t>
      </w:r>
      <w:r w:rsidR="00B909DE" w:rsidRPr="00976F31">
        <w:rPr>
          <w:bCs/>
          <w:i/>
          <w:sz w:val="20"/>
          <w:szCs w:val="20"/>
        </w:rPr>
        <w:t xml:space="preserve">, for example via the development of a disease/patient register, </w:t>
      </w:r>
      <w:r w:rsidR="00063D67" w:rsidRPr="00976F31">
        <w:rPr>
          <w:bCs/>
          <w:i/>
          <w:sz w:val="20"/>
          <w:szCs w:val="20"/>
        </w:rPr>
        <w:t xml:space="preserve">are needed at the national and international levels </w:t>
      </w:r>
      <w:r w:rsidR="00957555" w:rsidRPr="00976F31">
        <w:rPr>
          <w:bCs/>
          <w:i/>
          <w:sz w:val="20"/>
          <w:szCs w:val="20"/>
        </w:rPr>
        <w:t>to</w:t>
      </w:r>
      <w:r w:rsidR="00E13D11" w:rsidRPr="00976F31">
        <w:rPr>
          <w:bCs/>
          <w:i/>
          <w:sz w:val="20"/>
          <w:szCs w:val="20"/>
        </w:rPr>
        <w:t xml:space="preserve"> facilitate global development of innovative new therapies for rare diseases with high unmet medical need</w:t>
      </w:r>
      <w:r w:rsidR="003932D5" w:rsidRPr="00976F31">
        <w:rPr>
          <w:bCs/>
          <w:i/>
          <w:sz w:val="20"/>
          <w:szCs w:val="20"/>
        </w:rPr>
        <w:t>.</w:t>
      </w:r>
      <w:bookmarkStart w:id="3" w:name="article1.body1.sec3.sec3.sec1.p1"/>
      <w:bookmarkStart w:id="4" w:name="article1.body1.sec3.sec3.sec2.p1"/>
      <w:bookmarkEnd w:id="3"/>
      <w:bookmarkEnd w:id="4"/>
    </w:p>
    <w:p w14:paraId="416D1155" w14:textId="77777777" w:rsidR="009106C2" w:rsidRPr="00976F31" w:rsidRDefault="009106C2" w:rsidP="00180AE3">
      <w:pPr>
        <w:spacing w:after="0" w:line="360" w:lineRule="auto"/>
        <w:rPr>
          <w:b/>
          <w:bCs/>
          <w:i/>
          <w:sz w:val="20"/>
          <w:szCs w:val="20"/>
        </w:rPr>
      </w:pPr>
    </w:p>
    <w:p w14:paraId="103EB14A" w14:textId="0E4BF7A0" w:rsidR="00B207A8" w:rsidRPr="00976F31" w:rsidRDefault="00B6665E" w:rsidP="00180AE3">
      <w:pPr>
        <w:pStyle w:val="Heading2"/>
        <w:spacing w:line="360" w:lineRule="auto"/>
      </w:pPr>
      <w:r w:rsidRPr="00976F31">
        <w:t>Accelerated review and approval of</w:t>
      </w:r>
      <w:r w:rsidR="00510DF7" w:rsidRPr="00976F31">
        <w:t xml:space="preserve"> innovative treatment</w:t>
      </w:r>
      <w:r w:rsidRPr="00976F31">
        <w:t>s</w:t>
      </w:r>
      <w:r w:rsidR="00510DF7" w:rsidRPr="00976F31">
        <w:t xml:space="preserve"> </w:t>
      </w:r>
      <w:r w:rsidRPr="00976F31">
        <w:t>for</w:t>
      </w:r>
      <w:r w:rsidR="00510DF7" w:rsidRPr="00976F31">
        <w:t xml:space="preserve"> rare diseases with high unmet medical need</w:t>
      </w:r>
      <w:r w:rsidR="005D44C6" w:rsidRPr="00976F31">
        <w:t xml:space="preserve"> and </w:t>
      </w:r>
      <w:r w:rsidR="008504B1" w:rsidRPr="00976F31">
        <w:t>reliance on</w:t>
      </w:r>
      <w:r w:rsidR="005D44C6" w:rsidRPr="00976F31">
        <w:t xml:space="preserve"> other regulatory authorities</w:t>
      </w:r>
    </w:p>
    <w:p w14:paraId="353C3956" w14:textId="0F68102A" w:rsidR="00352208" w:rsidRPr="00976F31" w:rsidRDefault="00352208" w:rsidP="00352208">
      <w:pPr>
        <w:spacing w:after="0" w:line="360" w:lineRule="auto"/>
        <w:jc w:val="both"/>
        <w:rPr>
          <w:bCs/>
          <w:sz w:val="20"/>
          <w:szCs w:val="20"/>
        </w:rPr>
      </w:pPr>
      <w:r w:rsidRPr="00976F31">
        <w:rPr>
          <w:bCs/>
          <w:sz w:val="20"/>
          <w:szCs w:val="20"/>
        </w:rPr>
        <w:t xml:space="preserve">In many emerging markets, the lack of both defined review timelines and expedited regulatory pathways for orphan drug designation and registration are major concerns and prevent </w:t>
      </w:r>
      <w:r w:rsidR="00CF1251">
        <w:rPr>
          <w:bCs/>
          <w:sz w:val="20"/>
          <w:szCs w:val="20"/>
        </w:rPr>
        <w:t xml:space="preserve">the </w:t>
      </w:r>
      <w:r w:rsidRPr="00976F31">
        <w:rPr>
          <w:bCs/>
          <w:sz w:val="20"/>
          <w:szCs w:val="20"/>
        </w:rPr>
        <w:t xml:space="preserve">regulatory predictability </w:t>
      </w:r>
      <w:r w:rsidR="00CF1251">
        <w:rPr>
          <w:bCs/>
          <w:sz w:val="20"/>
          <w:szCs w:val="20"/>
        </w:rPr>
        <w:t>that can</w:t>
      </w:r>
      <w:r w:rsidRPr="00976F31">
        <w:rPr>
          <w:bCs/>
          <w:sz w:val="20"/>
          <w:szCs w:val="20"/>
        </w:rPr>
        <w:t xml:space="preserve"> </w:t>
      </w:r>
      <w:r w:rsidRPr="00976F31">
        <w:rPr>
          <w:bCs/>
          <w:sz w:val="20"/>
          <w:szCs w:val="20"/>
        </w:rPr>
        <w:lastRenderedPageBreak/>
        <w:t>facilitate global development of orphan medicinal products. The situation is often further complicated by resource/ capacity constraints within national regulatory authorities (NRAs).</w:t>
      </w:r>
    </w:p>
    <w:p w14:paraId="14394F3E" w14:textId="77777777" w:rsidR="008504B1" w:rsidRPr="00180AE3" w:rsidRDefault="008504B1" w:rsidP="00180AE3">
      <w:pPr>
        <w:pStyle w:val="ListParagraph"/>
        <w:numPr>
          <w:ilvl w:val="0"/>
          <w:numId w:val="3"/>
        </w:numPr>
        <w:spacing w:after="0" w:line="360" w:lineRule="auto"/>
        <w:jc w:val="both"/>
        <w:rPr>
          <w:rFonts w:cs="EUAlbertina"/>
          <w:b/>
          <w:i/>
          <w:sz w:val="20"/>
          <w:szCs w:val="20"/>
        </w:rPr>
      </w:pPr>
      <w:r w:rsidRPr="00180AE3">
        <w:rPr>
          <w:rFonts w:cs="EUAlbertina"/>
          <w:b/>
          <w:i/>
          <w:sz w:val="20"/>
          <w:szCs w:val="20"/>
        </w:rPr>
        <w:t>Recognition of Orphan Drug status granted by another health authority</w:t>
      </w:r>
    </w:p>
    <w:p w14:paraId="2BFDFB71" w14:textId="7146A4A1" w:rsidR="008C301D" w:rsidRPr="00976F31" w:rsidRDefault="008C301D" w:rsidP="00180AE3">
      <w:pPr>
        <w:spacing w:after="0" w:line="360" w:lineRule="auto"/>
        <w:jc w:val="both"/>
        <w:rPr>
          <w:rFonts w:cs="EUAlbertina"/>
          <w:sz w:val="20"/>
          <w:szCs w:val="20"/>
        </w:rPr>
      </w:pPr>
      <w:r w:rsidRPr="00976F31">
        <w:rPr>
          <w:rFonts w:cs="EUAlbertina"/>
          <w:sz w:val="20"/>
          <w:szCs w:val="20"/>
        </w:rPr>
        <w:t xml:space="preserve">The </w:t>
      </w:r>
      <w:r w:rsidR="00CF7F84" w:rsidRPr="00976F31">
        <w:rPr>
          <w:rFonts w:cs="EUAlbertina"/>
          <w:sz w:val="20"/>
          <w:szCs w:val="20"/>
        </w:rPr>
        <w:t xml:space="preserve">orphan </w:t>
      </w:r>
      <w:r w:rsidRPr="00976F31">
        <w:rPr>
          <w:rFonts w:cs="EUAlbertina"/>
          <w:sz w:val="20"/>
          <w:szCs w:val="20"/>
        </w:rPr>
        <w:t xml:space="preserve">designation procedure may require a complex assessment and health authority capacities that are not readily available in all countries.  Where these capabilities do not exist, an alternative proposal would be for competent authorities to rely upon and recognise the orphan drug status that has potentially been granted already in another territory.  For example, Switzerland will automatically designate a product as orphan if </w:t>
      </w:r>
      <w:r w:rsidR="00CF1251">
        <w:rPr>
          <w:rFonts w:cs="EUAlbertina"/>
          <w:sz w:val="20"/>
          <w:szCs w:val="20"/>
        </w:rPr>
        <w:t>it</w:t>
      </w:r>
      <w:r w:rsidRPr="00976F31">
        <w:rPr>
          <w:rFonts w:cs="EUAlbertina"/>
          <w:sz w:val="20"/>
          <w:szCs w:val="20"/>
        </w:rPr>
        <w:t xml:space="preserve"> has already been granted orphan status </w:t>
      </w:r>
      <w:r w:rsidR="00AC5177" w:rsidRPr="00976F31">
        <w:rPr>
          <w:rFonts w:cs="EUAlbertina"/>
          <w:sz w:val="20"/>
          <w:szCs w:val="20"/>
        </w:rPr>
        <w:t xml:space="preserve">by another </w:t>
      </w:r>
      <w:r w:rsidR="00B33264" w:rsidRPr="00976F31">
        <w:rPr>
          <w:rFonts w:cs="EUAlbertina"/>
          <w:sz w:val="20"/>
          <w:szCs w:val="20"/>
        </w:rPr>
        <w:t xml:space="preserve">recognized </w:t>
      </w:r>
      <w:r w:rsidR="00AC5177" w:rsidRPr="00976F31">
        <w:rPr>
          <w:rFonts w:cs="EUAlbertina"/>
          <w:sz w:val="20"/>
          <w:szCs w:val="20"/>
        </w:rPr>
        <w:t>authority</w:t>
      </w:r>
      <w:r w:rsidRPr="00976F31">
        <w:rPr>
          <w:rFonts w:cs="EUAlbertina"/>
          <w:sz w:val="20"/>
          <w:szCs w:val="20"/>
        </w:rPr>
        <w:t>. Evidence that the product contains the same active compound, as well as proof of orphan status in the foreign territory must be provided by the Sponsor.</w:t>
      </w:r>
      <w:r w:rsidR="00AC5177" w:rsidRPr="00976F31">
        <w:rPr>
          <w:rFonts w:cs="EUAlbertina"/>
          <w:sz w:val="20"/>
          <w:szCs w:val="20"/>
        </w:rPr>
        <w:t xml:space="preserve"> If there is </w:t>
      </w:r>
      <w:r w:rsidR="00CF1251">
        <w:rPr>
          <w:rFonts w:cs="EUAlbertina"/>
          <w:sz w:val="20"/>
          <w:szCs w:val="20"/>
        </w:rPr>
        <w:t xml:space="preserve">a </w:t>
      </w:r>
      <w:r w:rsidR="00AC5177" w:rsidRPr="00976F31">
        <w:rPr>
          <w:rFonts w:cs="EUAlbertina"/>
          <w:sz w:val="20"/>
          <w:szCs w:val="20"/>
        </w:rPr>
        <w:t xml:space="preserve">divergence in opinion granted by </w:t>
      </w:r>
      <w:r w:rsidR="004E76B3" w:rsidRPr="00976F31">
        <w:rPr>
          <w:rFonts w:cs="EUAlbertina"/>
          <w:sz w:val="20"/>
          <w:szCs w:val="20"/>
        </w:rPr>
        <w:t>other</w:t>
      </w:r>
      <w:r w:rsidR="00AC5177" w:rsidRPr="00976F31">
        <w:rPr>
          <w:rFonts w:cs="EUAlbertina"/>
          <w:sz w:val="20"/>
          <w:szCs w:val="20"/>
        </w:rPr>
        <w:t xml:space="preserve"> authorities</w:t>
      </w:r>
      <w:r w:rsidR="00E8169C" w:rsidRPr="00976F31">
        <w:rPr>
          <w:rFonts w:cs="EUAlbertina"/>
          <w:sz w:val="20"/>
          <w:szCs w:val="20"/>
        </w:rPr>
        <w:t>’</w:t>
      </w:r>
      <w:r w:rsidR="00AC5177" w:rsidRPr="00976F31">
        <w:rPr>
          <w:rFonts w:cs="EUAlbertina"/>
          <w:sz w:val="20"/>
          <w:szCs w:val="20"/>
        </w:rPr>
        <w:t xml:space="preserve"> designations</w:t>
      </w:r>
      <w:r w:rsidR="004E76B3" w:rsidRPr="00976F31">
        <w:rPr>
          <w:rFonts w:cs="EUAlbertina"/>
          <w:sz w:val="20"/>
          <w:szCs w:val="20"/>
        </w:rPr>
        <w:t>,</w:t>
      </w:r>
      <w:r w:rsidR="00AC5177" w:rsidRPr="00976F31">
        <w:rPr>
          <w:rFonts w:cs="EUAlbertina"/>
          <w:sz w:val="20"/>
          <w:szCs w:val="20"/>
        </w:rPr>
        <w:t xml:space="preserve"> a full assessment is required.</w:t>
      </w:r>
    </w:p>
    <w:p w14:paraId="07A69915" w14:textId="3E26ADA6" w:rsidR="008504B1" w:rsidRPr="00180AE3" w:rsidRDefault="008504B1" w:rsidP="00180AE3">
      <w:pPr>
        <w:pStyle w:val="ListParagraph"/>
        <w:numPr>
          <w:ilvl w:val="0"/>
          <w:numId w:val="3"/>
        </w:numPr>
        <w:spacing w:after="0" w:line="360" w:lineRule="auto"/>
        <w:jc w:val="both"/>
        <w:rPr>
          <w:rFonts w:cs="EUAlbertina"/>
          <w:b/>
          <w:i/>
          <w:sz w:val="20"/>
          <w:szCs w:val="20"/>
        </w:rPr>
      </w:pPr>
      <w:r w:rsidRPr="00976F31">
        <w:rPr>
          <w:rFonts w:cs="EUAlbertina"/>
          <w:b/>
          <w:i/>
          <w:sz w:val="20"/>
          <w:szCs w:val="20"/>
        </w:rPr>
        <w:t>Reliance and expedited registration pathways for orphan drugs</w:t>
      </w:r>
    </w:p>
    <w:p w14:paraId="66A1296E" w14:textId="4778C622" w:rsidR="007C31A2" w:rsidRPr="00976F31" w:rsidRDefault="008A3D64" w:rsidP="00180AE3">
      <w:pPr>
        <w:spacing w:after="0" w:line="360" w:lineRule="auto"/>
        <w:jc w:val="both"/>
        <w:rPr>
          <w:bCs/>
          <w:sz w:val="20"/>
          <w:szCs w:val="20"/>
        </w:rPr>
      </w:pPr>
      <w:r w:rsidRPr="00976F31">
        <w:rPr>
          <w:bCs/>
          <w:sz w:val="20"/>
          <w:szCs w:val="20"/>
        </w:rPr>
        <w:t>Th</w:t>
      </w:r>
      <w:r w:rsidR="00C66B90" w:rsidRPr="00976F31">
        <w:rPr>
          <w:bCs/>
          <w:sz w:val="20"/>
          <w:szCs w:val="20"/>
        </w:rPr>
        <w:t>e</w:t>
      </w:r>
      <w:r w:rsidRPr="00976F31">
        <w:rPr>
          <w:bCs/>
          <w:sz w:val="20"/>
          <w:szCs w:val="20"/>
        </w:rPr>
        <w:t xml:space="preserve"> countries that have put in place </w:t>
      </w:r>
      <w:r w:rsidR="00CF7F84" w:rsidRPr="00976F31">
        <w:rPr>
          <w:bCs/>
          <w:sz w:val="20"/>
          <w:szCs w:val="20"/>
        </w:rPr>
        <w:t xml:space="preserve">incentive-based mechanisms have also focussed on </w:t>
      </w:r>
      <w:r w:rsidR="00A62C7F" w:rsidRPr="00976F31">
        <w:rPr>
          <w:bCs/>
          <w:sz w:val="20"/>
          <w:szCs w:val="20"/>
        </w:rPr>
        <w:t>accelerated</w:t>
      </w:r>
      <w:r w:rsidRPr="00976F31">
        <w:rPr>
          <w:bCs/>
          <w:sz w:val="20"/>
          <w:szCs w:val="20"/>
        </w:rPr>
        <w:t xml:space="preserve"> market</w:t>
      </w:r>
      <w:r w:rsidR="00D35B5A" w:rsidRPr="00976F31">
        <w:rPr>
          <w:bCs/>
          <w:sz w:val="20"/>
          <w:szCs w:val="20"/>
        </w:rPr>
        <w:t>ing authorisation</w:t>
      </w:r>
      <w:r w:rsidRPr="00976F31">
        <w:rPr>
          <w:bCs/>
          <w:sz w:val="20"/>
          <w:szCs w:val="20"/>
        </w:rPr>
        <w:t xml:space="preserve"> approval timeframes</w:t>
      </w:r>
      <w:r w:rsidR="00C66B90" w:rsidRPr="00976F31">
        <w:rPr>
          <w:bCs/>
          <w:sz w:val="20"/>
          <w:szCs w:val="20"/>
        </w:rPr>
        <w:t>. This is notably the case</w:t>
      </w:r>
      <w:r w:rsidR="00D273F2" w:rsidRPr="00976F31">
        <w:rPr>
          <w:bCs/>
          <w:sz w:val="20"/>
          <w:szCs w:val="20"/>
        </w:rPr>
        <w:t xml:space="preserve"> in</w:t>
      </w:r>
      <w:r w:rsidRPr="00976F31">
        <w:rPr>
          <w:bCs/>
          <w:sz w:val="20"/>
          <w:szCs w:val="20"/>
        </w:rPr>
        <w:t xml:space="preserve"> Australia and Taiwan, as well as </w:t>
      </w:r>
      <w:r w:rsidR="00C66B90" w:rsidRPr="00976F31">
        <w:rPr>
          <w:bCs/>
          <w:sz w:val="20"/>
          <w:szCs w:val="20"/>
        </w:rPr>
        <w:t xml:space="preserve">the </w:t>
      </w:r>
      <w:r w:rsidRPr="00976F31">
        <w:rPr>
          <w:bCs/>
          <w:sz w:val="20"/>
          <w:szCs w:val="20"/>
        </w:rPr>
        <w:t>countries that have put in place independent regulatory pathways for orphan dr</w:t>
      </w:r>
      <w:r w:rsidR="00F83AB5" w:rsidRPr="00976F31">
        <w:rPr>
          <w:bCs/>
          <w:sz w:val="20"/>
          <w:szCs w:val="20"/>
        </w:rPr>
        <w:t xml:space="preserve">ug approval such as Switzerland, Russia, Brazil </w:t>
      </w:r>
      <w:r w:rsidRPr="00976F31">
        <w:rPr>
          <w:bCs/>
          <w:sz w:val="20"/>
          <w:szCs w:val="20"/>
        </w:rPr>
        <w:t xml:space="preserve">and Korea. </w:t>
      </w:r>
      <w:r w:rsidR="002F0272" w:rsidRPr="00976F31">
        <w:rPr>
          <w:bCs/>
          <w:sz w:val="20"/>
          <w:szCs w:val="20"/>
        </w:rPr>
        <w:t xml:space="preserve">In </w:t>
      </w:r>
      <w:r w:rsidR="00B6665E" w:rsidRPr="00976F31">
        <w:rPr>
          <w:bCs/>
          <w:sz w:val="20"/>
          <w:szCs w:val="20"/>
        </w:rPr>
        <w:t>this context</w:t>
      </w:r>
      <w:r w:rsidR="002F0272" w:rsidRPr="00976F31">
        <w:rPr>
          <w:bCs/>
          <w:sz w:val="20"/>
          <w:szCs w:val="20"/>
        </w:rPr>
        <w:t>, EFPIA believes that a</w:t>
      </w:r>
      <w:r w:rsidR="007C31A2" w:rsidRPr="00976F31">
        <w:rPr>
          <w:bCs/>
          <w:sz w:val="20"/>
          <w:szCs w:val="20"/>
        </w:rPr>
        <w:t xml:space="preserve"> potent enabler of accelerated review and approval can be the implementation of the concept of reliance </w:t>
      </w:r>
      <w:r w:rsidR="008504B1" w:rsidRPr="00976F31">
        <w:rPr>
          <w:bCs/>
          <w:sz w:val="20"/>
          <w:szCs w:val="20"/>
        </w:rPr>
        <w:t>or</w:t>
      </w:r>
      <w:r w:rsidR="007C31A2" w:rsidRPr="00976F31">
        <w:rPr>
          <w:bCs/>
          <w:sz w:val="20"/>
          <w:szCs w:val="20"/>
        </w:rPr>
        <w:t xml:space="preserve"> expedited registration pathways at the relevan</w:t>
      </w:r>
      <w:r w:rsidR="00F83AB5" w:rsidRPr="00976F31">
        <w:rPr>
          <w:bCs/>
          <w:sz w:val="20"/>
          <w:szCs w:val="20"/>
        </w:rPr>
        <w:t xml:space="preserve">t </w:t>
      </w:r>
      <w:r w:rsidR="006A625A">
        <w:rPr>
          <w:bCs/>
          <w:sz w:val="20"/>
          <w:szCs w:val="20"/>
        </w:rPr>
        <w:t>National Regulatory Authorities (</w:t>
      </w:r>
      <w:r w:rsidR="0065103D" w:rsidRPr="00976F31">
        <w:rPr>
          <w:bCs/>
          <w:sz w:val="20"/>
          <w:szCs w:val="20"/>
        </w:rPr>
        <w:t>NRAs</w:t>
      </w:r>
      <w:r w:rsidR="006A625A">
        <w:rPr>
          <w:bCs/>
          <w:sz w:val="20"/>
          <w:szCs w:val="20"/>
        </w:rPr>
        <w:t>)</w:t>
      </w:r>
      <w:r w:rsidR="0065103D" w:rsidRPr="00976F31">
        <w:rPr>
          <w:bCs/>
          <w:sz w:val="20"/>
          <w:szCs w:val="20"/>
        </w:rPr>
        <w:t xml:space="preserve"> </w:t>
      </w:r>
      <w:r w:rsidR="007C31A2" w:rsidRPr="00976F31">
        <w:rPr>
          <w:bCs/>
          <w:sz w:val="20"/>
          <w:szCs w:val="20"/>
        </w:rPr>
        <w:t xml:space="preserve">as explained </w:t>
      </w:r>
      <w:r w:rsidR="006D30CB" w:rsidRPr="00976F31">
        <w:rPr>
          <w:bCs/>
          <w:sz w:val="20"/>
          <w:szCs w:val="20"/>
        </w:rPr>
        <w:t xml:space="preserve">in detail </w:t>
      </w:r>
      <w:r w:rsidR="007C31A2" w:rsidRPr="00976F31">
        <w:rPr>
          <w:bCs/>
          <w:sz w:val="20"/>
          <w:szCs w:val="20"/>
        </w:rPr>
        <w:t xml:space="preserve">in </w:t>
      </w:r>
      <w:r w:rsidR="007C31A2" w:rsidRPr="00CF1251">
        <w:rPr>
          <w:bCs/>
          <w:sz w:val="20"/>
          <w:szCs w:val="20"/>
        </w:rPr>
        <w:t xml:space="preserve">the </w:t>
      </w:r>
      <w:hyperlink r:id="rId13" w:history="1">
        <w:r w:rsidR="007C31A2" w:rsidRPr="00180AE3">
          <w:rPr>
            <w:rStyle w:val="Hyperlink"/>
            <w:bCs/>
            <w:sz w:val="20"/>
            <w:szCs w:val="20"/>
          </w:rPr>
          <w:t xml:space="preserve">EFPIA </w:t>
        </w:r>
        <w:r w:rsidR="00CF1251">
          <w:rPr>
            <w:rStyle w:val="Hyperlink"/>
            <w:bCs/>
            <w:sz w:val="20"/>
            <w:szCs w:val="20"/>
          </w:rPr>
          <w:t>W</w:t>
        </w:r>
        <w:r w:rsidR="007C31A2" w:rsidRPr="00180AE3">
          <w:rPr>
            <w:rStyle w:val="Hyperlink"/>
            <w:bCs/>
            <w:sz w:val="20"/>
            <w:szCs w:val="20"/>
          </w:rPr>
          <w:t xml:space="preserve">hite </w:t>
        </w:r>
        <w:r w:rsidR="00CF1251">
          <w:rPr>
            <w:rStyle w:val="Hyperlink"/>
            <w:bCs/>
            <w:sz w:val="20"/>
            <w:szCs w:val="20"/>
          </w:rPr>
          <w:t>P</w:t>
        </w:r>
        <w:r w:rsidR="007C31A2" w:rsidRPr="00180AE3">
          <w:rPr>
            <w:rStyle w:val="Hyperlink"/>
            <w:bCs/>
            <w:sz w:val="20"/>
            <w:szCs w:val="20"/>
          </w:rPr>
          <w:t>aper</w:t>
        </w:r>
      </w:hyperlink>
      <w:r w:rsidR="00CF1251">
        <w:rPr>
          <w:rStyle w:val="Hyperlink"/>
          <w:bCs/>
          <w:sz w:val="20"/>
          <w:szCs w:val="20"/>
        </w:rPr>
        <w:t>,</w:t>
      </w:r>
      <w:r w:rsidR="007C31A2" w:rsidRPr="00976F31">
        <w:rPr>
          <w:bCs/>
          <w:i/>
          <w:sz w:val="20"/>
          <w:szCs w:val="20"/>
        </w:rPr>
        <w:t xml:space="preserve"> </w:t>
      </w:r>
      <w:r w:rsidR="00CF1251">
        <w:rPr>
          <w:bCs/>
          <w:i/>
          <w:sz w:val="20"/>
          <w:szCs w:val="20"/>
        </w:rPr>
        <w:t>‘</w:t>
      </w:r>
      <w:r w:rsidR="003932D5" w:rsidRPr="00976F31">
        <w:rPr>
          <w:bCs/>
          <w:i/>
          <w:sz w:val="20"/>
          <w:szCs w:val="20"/>
        </w:rPr>
        <w:t>R</w:t>
      </w:r>
      <w:r w:rsidR="007C31A2" w:rsidRPr="00976F31">
        <w:rPr>
          <w:bCs/>
          <w:i/>
          <w:sz w:val="20"/>
          <w:szCs w:val="20"/>
        </w:rPr>
        <w:t>eliance and expedited registration pathways in emerging markets</w:t>
      </w:r>
      <w:r w:rsidR="00CF1251">
        <w:rPr>
          <w:bCs/>
          <w:i/>
          <w:sz w:val="20"/>
          <w:szCs w:val="20"/>
        </w:rPr>
        <w:t>’</w:t>
      </w:r>
      <w:r w:rsidR="007C31A2" w:rsidRPr="00976F31">
        <w:rPr>
          <w:bCs/>
          <w:i/>
          <w:sz w:val="20"/>
          <w:szCs w:val="20"/>
        </w:rPr>
        <w:t>.</w:t>
      </w:r>
      <w:r w:rsidR="00BE0B5A">
        <w:rPr>
          <w:rStyle w:val="EndnoteReference"/>
          <w:bCs/>
          <w:i/>
          <w:szCs w:val="20"/>
        </w:rPr>
        <w:endnoteReference w:id="13"/>
      </w:r>
      <w:r w:rsidR="00B15F8C">
        <w:rPr>
          <w:bCs/>
          <w:i/>
          <w:sz w:val="20"/>
          <w:szCs w:val="20"/>
        </w:rPr>
        <w:t xml:space="preserve">  </w:t>
      </w:r>
      <w:r w:rsidR="007C31A2" w:rsidRPr="00976F31">
        <w:rPr>
          <w:bCs/>
          <w:sz w:val="20"/>
          <w:szCs w:val="20"/>
        </w:rPr>
        <w:t xml:space="preserve">EFPIA defines these alternative registration pathways as follows: </w:t>
      </w:r>
    </w:p>
    <w:p w14:paraId="7A4A6D95" w14:textId="009D6B74" w:rsidR="008504B1" w:rsidRPr="00976F31" w:rsidRDefault="007C31A2" w:rsidP="00180AE3">
      <w:pPr>
        <w:pStyle w:val="ListParagraph"/>
        <w:numPr>
          <w:ilvl w:val="0"/>
          <w:numId w:val="28"/>
        </w:numPr>
        <w:spacing w:after="0" w:line="360" w:lineRule="auto"/>
        <w:jc w:val="both"/>
        <w:rPr>
          <w:bCs/>
          <w:sz w:val="20"/>
          <w:szCs w:val="20"/>
        </w:rPr>
      </w:pPr>
      <w:r w:rsidRPr="00180AE3">
        <w:rPr>
          <w:b/>
          <w:bCs/>
          <w:sz w:val="20"/>
          <w:szCs w:val="20"/>
        </w:rPr>
        <w:t>Reliance pathways to Facilitate Regulatory Decisions</w:t>
      </w:r>
      <w:r w:rsidRPr="00180AE3">
        <w:rPr>
          <w:bCs/>
          <w:sz w:val="20"/>
          <w:szCs w:val="20"/>
        </w:rPr>
        <w:t>: Registration pathways used by NRAs or regiona</w:t>
      </w:r>
      <w:r w:rsidR="0065103D" w:rsidRPr="00180AE3">
        <w:rPr>
          <w:bCs/>
          <w:sz w:val="20"/>
          <w:szCs w:val="20"/>
        </w:rPr>
        <w:t xml:space="preserve">l regulatory initiatives </w:t>
      </w:r>
      <w:r w:rsidRPr="00180AE3">
        <w:rPr>
          <w:bCs/>
          <w:sz w:val="20"/>
          <w:szCs w:val="20"/>
        </w:rPr>
        <w:t>wherein their decisions regarding the approval of any type of product can be accelerated by the reliance on or recognition of prior reviews by</w:t>
      </w:r>
      <w:r w:rsidR="004E76B3" w:rsidRPr="00180AE3">
        <w:rPr>
          <w:bCs/>
          <w:sz w:val="20"/>
          <w:szCs w:val="20"/>
        </w:rPr>
        <w:t xml:space="preserve"> </w:t>
      </w:r>
      <w:r w:rsidR="00C21154" w:rsidRPr="00180AE3">
        <w:rPr>
          <w:bCs/>
          <w:sz w:val="20"/>
          <w:szCs w:val="20"/>
        </w:rPr>
        <w:t>stringent regulatory authorities (SRAs; see explanation in glossary).</w:t>
      </w:r>
    </w:p>
    <w:p w14:paraId="145AF979" w14:textId="75D0972C" w:rsidR="007C31A2" w:rsidRPr="00180AE3" w:rsidRDefault="007C31A2" w:rsidP="00180AE3">
      <w:pPr>
        <w:pStyle w:val="ListParagraph"/>
        <w:numPr>
          <w:ilvl w:val="0"/>
          <w:numId w:val="28"/>
        </w:numPr>
        <w:spacing w:after="0" w:line="360" w:lineRule="auto"/>
        <w:jc w:val="both"/>
        <w:rPr>
          <w:bCs/>
          <w:sz w:val="20"/>
          <w:szCs w:val="20"/>
        </w:rPr>
      </w:pPr>
      <w:r w:rsidRPr="00180AE3">
        <w:rPr>
          <w:b/>
          <w:bCs/>
          <w:sz w:val="20"/>
          <w:szCs w:val="20"/>
        </w:rPr>
        <w:t xml:space="preserve">Expedited Regulatory Pathways for medicines targeting unmet medical need: </w:t>
      </w:r>
      <w:r w:rsidRPr="00180AE3">
        <w:rPr>
          <w:bCs/>
          <w:sz w:val="20"/>
          <w:szCs w:val="20"/>
        </w:rPr>
        <w:t xml:space="preserve">Registration pathways that speed the development, review and approval of a product which </w:t>
      </w:r>
      <w:r w:rsidR="0065103D" w:rsidRPr="00180AE3">
        <w:rPr>
          <w:bCs/>
          <w:sz w:val="20"/>
          <w:szCs w:val="20"/>
        </w:rPr>
        <w:t>fulfils</w:t>
      </w:r>
      <w:r w:rsidRPr="00180AE3">
        <w:rPr>
          <w:bCs/>
          <w:sz w:val="20"/>
          <w:szCs w:val="20"/>
        </w:rPr>
        <w:t xml:space="preserve"> the national requirements for unmet medical need</w:t>
      </w:r>
      <w:r w:rsidR="0065103D" w:rsidRPr="00180AE3">
        <w:rPr>
          <w:bCs/>
          <w:sz w:val="20"/>
          <w:szCs w:val="20"/>
        </w:rPr>
        <w:t xml:space="preserve"> (s</w:t>
      </w:r>
      <w:r w:rsidR="0055135D" w:rsidRPr="00180AE3">
        <w:rPr>
          <w:bCs/>
          <w:sz w:val="20"/>
          <w:szCs w:val="20"/>
        </w:rPr>
        <w:t>ee</w:t>
      </w:r>
      <w:r w:rsidR="0065103D" w:rsidRPr="00180AE3">
        <w:rPr>
          <w:bCs/>
          <w:sz w:val="20"/>
          <w:szCs w:val="20"/>
        </w:rPr>
        <w:t xml:space="preserve"> above)</w:t>
      </w:r>
      <w:r w:rsidRPr="00180AE3">
        <w:rPr>
          <w:bCs/>
          <w:sz w:val="20"/>
          <w:szCs w:val="20"/>
        </w:rPr>
        <w:t>; typically implemented by a SRA, for a first non-dependent review, where no prior approval exists</w:t>
      </w:r>
      <w:r w:rsidR="002F0272" w:rsidRPr="00180AE3">
        <w:rPr>
          <w:bCs/>
          <w:sz w:val="20"/>
          <w:szCs w:val="20"/>
        </w:rPr>
        <w:t>.</w:t>
      </w:r>
      <w:r w:rsidRPr="00180AE3">
        <w:rPr>
          <w:bCs/>
          <w:sz w:val="20"/>
          <w:szCs w:val="20"/>
        </w:rPr>
        <w:t xml:space="preserve"> </w:t>
      </w:r>
    </w:p>
    <w:p w14:paraId="4A1C6D11" w14:textId="77777777" w:rsidR="00180AE3" w:rsidRDefault="00180AE3" w:rsidP="00180AE3">
      <w:pPr>
        <w:pStyle w:val="ListParagraph"/>
        <w:spacing w:after="0" w:line="240" w:lineRule="auto"/>
        <w:ind w:left="1080"/>
        <w:jc w:val="both"/>
      </w:pPr>
    </w:p>
    <w:p w14:paraId="4E074AC6" w14:textId="69E14A5A" w:rsidR="00180AE3" w:rsidRDefault="00180AE3" w:rsidP="00180AE3">
      <w:pPr>
        <w:pBdr>
          <w:top w:val="single" w:sz="4" w:space="1" w:color="auto"/>
          <w:left w:val="single" w:sz="4" w:space="4" w:color="auto"/>
          <w:bottom w:val="single" w:sz="4" w:space="1" w:color="auto"/>
          <w:right w:val="single" w:sz="4" w:space="4" w:color="auto"/>
        </w:pBdr>
        <w:spacing w:after="0"/>
        <w:jc w:val="both"/>
        <w:rPr>
          <w:b/>
          <w:bCs/>
          <w:i/>
          <w:sz w:val="20"/>
          <w:szCs w:val="20"/>
        </w:rPr>
      </w:pPr>
      <w:r w:rsidRPr="00180AE3">
        <w:rPr>
          <w:b/>
          <w:bCs/>
          <w:i/>
          <w:sz w:val="20"/>
          <w:szCs w:val="20"/>
        </w:rPr>
        <w:t>EFPIA Recommendations</w:t>
      </w:r>
    </w:p>
    <w:p w14:paraId="76202F6E" w14:textId="37B1AFA4" w:rsidR="00206B0E" w:rsidRPr="00180AE3" w:rsidRDefault="00180AE3" w:rsidP="00206B0E">
      <w:pPr>
        <w:pBdr>
          <w:top w:val="single" w:sz="4" w:space="1" w:color="auto"/>
          <w:left w:val="single" w:sz="4" w:space="4" w:color="auto"/>
          <w:bottom w:val="single" w:sz="4" w:space="1" w:color="auto"/>
          <w:right w:val="single" w:sz="4" w:space="4" w:color="auto"/>
        </w:pBdr>
        <w:spacing w:after="0"/>
        <w:jc w:val="both"/>
        <w:rPr>
          <w:b/>
          <w:bCs/>
          <w:i/>
          <w:sz w:val="20"/>
          <w:szCs w:val="20"/>
        </w:rPr>
      </w:pPr>
      <w:r w:rsidRPr="00180AE3">
        <w:rPr>
          <w:bCs/>
          <w:i/>
          <w:sz w:val="20"/>
          <w:szCs w:val="20"/>
        </w:rPr>
        <w:t>EFPIA believes that the</w:t>
      </w:r>
      <w:r w:rsidR="00206B0E">
        <w:rPr>
          <w:bCs/>
          <w:i/>
          <w:sz w:val="20"/>
          <w:szCs w:val="20"/>
        </w:rPr>
        <w:t xml:space="preserve"> recognition </w:t>
      </w:r>
      <w:r w:rsidR="00206B0E" w:rsidRPr="00180AE3">
        <w:rPr>
          <w:bCs/>
          <w:i/>
          <w:sz w:val="20"/>
          <w:szCs w:val="20"/>
        </w:rPr>
        <w:t xml:space="preserve">of orphan medicinal product designations from other recognized international </w:t>
      </w:r>
      <w:proofErr w:type="spellStart"/>
      <w:proofErr w:type="gramStart"/>
      <w:r w:rsidR="00063AFD">
        <w:rPr>
          <w:bCs/>
          <w:i/>
          <w:sz w:val="20"/>
          <w:szCs w:val="20"/>
        </w:rPr>
        <w:t>regulators</w:t>
      </w:r>
      <w:r w:rsidR="00063AFD" w:rsidRPr="00AD51CD">
        <w:rPr>
          <w:bCs/>
          <w:i/>
          <w:sz w:val="20"/>
          <w:szCs w:val="20"/>
        </w:rPr>
        <w:t>,</w:t>
      </w:r>
      <w:r w:rsidR="00AD51CD" w:rsidRPr="00AD51CD">
        <w:rPr>
          <w:bCs/>
          <w:i/>
          <w:sz w:val="20"/>
          <w:szCs w:val="20"/>
        </w:rPr>
        <w:t>e.g</w:t>
      </w:r>
      <w:proofErr w:type="spellEnd"/>
      <w:r w:rsidR="00AD51CD" w:rsidRPr="00AD51CD">
        <w:rPr>
          <w:bCs/>
          <w:i/>
          <w:sz w:val="20"/>
          <w:szCs w:val="20"/>
        </w:rPr>
        <w:t>.</w:t>
      </w:r>
      <w:proofErr w:type="gramEnd"/>
      <w:r w:rsidR="00AD51CD" w:rsidRPr="00AD51CD">
        <w:rPr>
          <w:bCs/>
          <w:i/>
          <w:sz w:val="20"/>
          <w:szCs w:val="20"/>
        </w:rPr>
        <w:t xml:space="preserve"> US-FDA, European Commission (EC), </w:t>
      </w:r>
      <w:r w:rsidR="00206B0E" w:rsidRPr="00180AE3">
        <w:rPr>
          <w:bCs/>
          <w:i/>
          <w:sz w:val="20"/>
          <w:szCs w:val="20"/>
        </w:rPr>
        <w:t xml:space="preserve"> </w:t>
      </w:r>
      <w:r w:rsidR="00206B0E">
        <w:rPr>
          <w:bCs/>
          <w:i/>
          <w:sz w:val="20"/>
          <w:szCs w:val="20"/>
        </w:rPr>
        <w:t>should be considered in</w:t>
      </w:r>
      <w:r w:rsidR="00063AFD">
        <w:rPr>
          <w:bCs/>
          <w:i/>
          <w:sz w:val="20"/>
          <w:szCs w:val="20"/>
        </w:rPr>
        <w:t xml:space="preserve"> </w:t>
      </w:r>
      <w:r w:rsidR="00206B0E">
        <w:rPr>
          <w:bCs/>
          <w:i/>
          <w:sz w:val="20"/>
          <w:szCs w:val="20"/>
        </w:rPr>
        <w:t>emerging market</w:t>
      </w:r>
      <w:r w:rsidR="00AD51CD">
        <w:rPr>
          <w:bCs/>
          <w:i/>
          <w:sz w:val="20"/>
          <w:szCs w:val="20"/>
        </w:rPr>
        <w:t>s.</w:t>
      </w:r>
      <w:r w:rsidR="00206B0E">
        <w:rPr>
          <w:bCs/>
          <w:i/>
          <w:sz w:val="20"/>
          <w:szCs w:val="20"/>
        </w:rPr>
        <w:t>.</w:t>
      </w:r>
    </w:p>
    <w:p w14:paraId="3F90FAAB" w14:textId="454DA55A" w:rsidR="00180AE3" w:rsidRPr="00063AFD" w:rsidRDefault="00206B0E" w:rsidP="00180AE3">
      <w:pPr>
        <w:pBdr>
          <w:top w:val="single" w:sz="4" w:space="1" w:color="auto"/>
          <w:left w:val="single" w:sz="4" w:space="4" w:color="auto"/>
          <w:bottom w:val="single" w:sz="4" w:space="1" w:color="auto"/>
          <w:right w:val="single" w:sz="4" w:space="4" w:color="auto"/>
        </w:pBdr>
        <w:spacing w:after="0"/>
        <w:jc w:val="both"/>
        <w:rPr>
          <w:bCs/>
          <w:i/>
          <w:sz w:val="20"/>
          <w:szCs w:val="20"/>
          <w:lang w:val="en-US"/>
        </w:rPr>
      </w:pPr>
      <w:r>
        <w:rPr>
          <w:bCs/>
          <w:i/>
          <w:sz w:val="20"/>
          <w:szCs w:val="20"/>
        </w:rPr>
        <w:t>In addition, the</w:t>
      </w:r>
      <w:r w:rsidR="00180AE3" w:rsidRPr="00180AE3">
        <w:rPr>
          <w:bCs/>
          <w:i/>
          <w:sz w:val="20"/>
          <w:szCs w:val="20"/>
        </w:rPr>
        <w:t xml:space="preserve"> implementation of alternative registration procedures (either reliance or expedited registration </w:t>
      </w:r>
      <w:r w:rsidR="00180AE3" w:rsidRPr="00063AFD">
        <w:rPr>
          <w:bCs/>
          <w:i/>
          <w:sz w:val="20"/>
          <w:szCs w:val="20"/>
        </w:rPr>
        <w:t xml:space="preserve">pathways) is a potent enabler of accelerated review and approval. Especially the use of reliance pathways is an attractive option to facilitate patient access to orphan drugs (among other products) in emerging markets, as it avoids duplications of efforts across regulators and can thereby contribute to equity of access globally. </w:t>
      </w:r>
      <w:r w:rsidR="00AD51CD" w:rsidRPr="00063AFD">
        <w:rPr>
          <w:bCs/>
          <w:i/>
          <w:sz w:val="20"/>
          <w:szCs w:val="20"/>
        </w:rPr>
        <w:t xml:space="preserve">For orphan medicinal products, regardless of the registration pathway being used, it is critical that regulators </w:t>
      </w:r>
      <w:r w:rsidR="00AD51CD" w:rsidRPr="00063AFD">
        <w:rPr>
          <w:bCs/>
          <w:i/>
          <w:sz w:val="20"/>
          <w:szCs w:val="20"/>
        </w:rPr>
        <w:lastRenderedPageBreak/>
        <w:t>allow innovative clinical development approaches. For example, to accept novel trial designs such as basket and umbrella trials, and to accept the use of novel sources of data</w:t>
      </w:r>
      <w:r w:rsidR="00063AFD" w:rsidRPr="00063AFD">
        <w:rPr>
          <w:bCs/>
          <w:i/>
          <w:sz w:val="20"/>
          <w:szCs w:val="20"/>
        </w:rPr>
        <w:t xml:space="preserve"> </w:t>
      </w:r>
      <w:r w:rsidR="00AD51CD" w:rsidRPr="00063AFD">
        <w:rPr>
          <w:bCs/>
          <w:i/>
          <w:sz w:val="20"/>
          <w:szCs w:val="20"/>
        </w:rPr>
        <w:t xml:space="preserve">such as data coming from digital apps/wearables and </w:t>
      </w:r>
      <w:r w:rsidR="00063AFD" w:rsidRPr="00063AFD">
        <w:rPr>
          <w:bCs/>
          <w:i/>
          <w:sz w:val="20"/>
          <w:szCs w:val="20"/>
        </w:rPr>
        <w:t>real-world</w:t>
      </w:r>
      <w:r w:rsidR="00AD51CD" w:rsidRPr="00063AFD">
        <w:rPr>
          <w:bCs/>
          <w:i/>
          <w:sz w:val="20"/>
          <w:szCs w:val="20"/>
        </w:rPr>
        <w:t xml:space="preserve"> evidence (RWE) to support decision-making, if scientifically justified.</w:t>
      </w:r>
    </w:p>
    <w:p w14:paraId="7C3F2AEA" w14:textId="404F9374" w:rsidR="00180AE3" w:rsidRPr="00063AFD" w:rsidRDefault="00180AE3" w:rsidP="00206B0E">
      <w:pPr>
        <w:pBdr>
          <w:top w:val="single" w:sz="4" w:space="1" w:color="auto"/>
          <w:left w:val="single" w:sz="4" w:space="4" w:color="auto"/>
          <w:bottom w:val="single" w:sz="4" w:space="1" w:color="auto"/>
          <w:right w:val="single" w:sz="4" w:space="4" w:color="auto"/>
        </w:pBdr>
        <w:spacing w:after="0"/>
        <w:jc w:val="both"/>
        <w:rPr>
          <w:rFonts w:ascii="Arial" w:eastAsia="Verdana" w:hAnsi="Arial" w:cs="Arial"/>
          <w:color w:val="000000" w:themeColor="text1"/>
          <w:sz w:val="20"/>
          <w:szCs w:val="20"/>
          <w:u w:color="000000"/>
          <w:lang w:eastAsia="en-GB"/>
        </w:rPr>
      </w:pPr>
      <w:r w:rsidRPr="00063AFD">
        <w:rPr>
          <w:bCs/>
          <w:i/>
          <w:sz w:val="20"/>
          <w:szCs w:val="20"/>
        </w:rPr>
        <w:t>In the interest of public health, EFPIA encourages regulators to offer early scientific dialogue or pre-submission meetings betwee</w:t>
      </w:r>
      <w:r w:rsidR="00206B0E" w:rsidRPr="00063AFD">
        <w:rPr>
          <w:bCs/>
          <w:i/>
          <w:sz w:val="20"/>
          <w:szCs w:val="20"/>
        </w:rPr>
        <w:t>n companies and regulatory agenc</w:t>
      </w:r>
      <w:r w:rsidRPr="00063AFD">
        <w:rPr>
          <w:bCs/>
          <w:i/>
          <w:sz w:val="20"/>
          <w:szCs w:val="20"/>
        </w:rPr>
        <w:t>ies</w:t>
      </w:r>
      <w:r w:rsidR="00206B0E" w:rsidRPr="00063AFD">
        <w:rPr>
          <w:bCs/>
          <w:i/>
          <w:sz w:val="20"/>
          <w:szCs w:val="20"/>
        </w:rPr>
        <w:t xml:space="preserve"> wherever available,</w:t>
      </w:r>
      <w:r w:rsidRPr="00063AFD">
        <w:rPr>
          <w:bCs/>
          <w:i/>
          <w:sz w:val="20"/>
          <w:szCs w:val="20"/>
        </w:rPr>
        <w:t xml:space="preserve"> to define the most appropriate registration procedure for a given medicinal product. </w:t>
      </w:r>
    </w:p>
    <w:p w14:paraId="012152AE" w14:textId="77777777" w:rsidR="00D20162" w:rsidRPr="00976F31" w:rsidRDefault="00D20162" w:rsidP="00180AE3">
      <w:pPr>
        <w:spacing w:after="0" w:line="360" w:lineRule="auto"/>
        <w:jc w:val="both"/>
      </w:pPr>
    </w:p>
    <w:p w14:paraId="5641E9AF" w14:textId="77777777" w:rsidR="008504B1" w:rsidRPr="00976F31" w:rsidRDefault="008504B1" w:rsidP="007D64CA">
      <w:pPr>
        <w:pStyle w:val="Heading2"/>
        <w:spacing w:line="360" w:lineRule="auto"/>
      </w:pPr>
      <w:r w:rsidRPr="00976F31">
        <w:t xml:space="preserve">Implementation of a Regulatory and Incentives framework enabling innovation and global convergence in the development of orphan drugs </w:t>
      </w:r>
    </w:p>
    <w:p w14:paraId="02DC3E88" w14:textId="440FED98" w:rsidR="008504B1" w:rsidRPr="00976F31" w:rsidRDefault="008504B1" w:rsidP="007D64CA">
      <w:pPr>
        <w:spacing w:line="360" w:lineRule="auto"/>
        <w:jc w:val="both"/>
        <w:rPr>
          <w:bCs/>
          <w:sz w:val="20"/>
          <w:szCs w:val="20"/>
        </w:rPr>
      </w:pPr>
      <w:r w:rsidRPr="00976F31">
        <w:rPr>
          <w:bCs/>
          <w:sz w:val="20"/>
          <w:szCs w:val="20"/>
        </w:rPr>
        <w:t>A number of countries around the world aim to improve access to treatments for rare diseases by adopting dedicated rare disease policies or national plans. However, very few countries have included in their regulations appropriate incentives to stimulate innovative research and development of new products and technologies. Those countries that have put in place incentive-based mechanism</w:t>
      </w:r>
      <w:r w:rsidR="00CF1251">
        <w:rPr>
          <w:bCs/>
          <w:sz w:val="20"/>
          <w:szCs w:val="20"/>
        </w:rPr>
        <w:t>s</w:t>
      </w:r>
      <w:r w:rsidRPr="00976F31">
        <w:rPr>
          <w:bCs/>
          <w:sz w:val="20"/>
          <w:szCs w:val="20"/>
        </w:rPr>
        <w:t xml:space="preserve"> have mainly focused on improving development and market approval timeframes. Orphan drug schemes provide different mixes of defined regulatory incentives. Of these, most are related to market exclusivity, fee reductions, accelerated review and approval, development tax credit, and specific pre-licensing support. It is also important to highlight the existence of regulatory challenges that may prevent the introduction of orphan drugs in emerging markets such as the need for a local clinical trial, local Q</w:t>
      </w:r>
      <w:r w:rsidR="00672FCD">
        <w:rPr>
          <w:bCs/>
          <w:sz w:val="20"/>
          <w:szCs w:val="20"/>
        </w:rPr>
        <w:t xml:space="preserve">uality </w:t>
      </w:r>
      <w:r w:rsidRPr="00976F31">
        <w:rPr>
          <w:bCs/>
          <w:sz w:val="20"/>
          <w:szCs w:val="20"/>
        </w:rPr>
        <w:t>C</w:t>
      </w:r>
      <w:r w:rsidR="00672FCD">
        <w:rPr>
          <w:bCs/>
          <w:sz w:val="20"/>
          <w:szCs w:val="20"/>
        </w:rPr>
        <w:t>ontrol</w:t>
      </w:r>
      <w:r w:rsidRPr="00976F31">
        <w:rPr>
          <w:bCs/>
          <w:sz w:val="20"/>
          <w:szCs w:val="20"/>
        </w:rPr>
        <w:t xml:space="preserve"> (re-)testing and local G</w:t>
      </w:r>
      <w:r w:rsidR="00672FCD">
        <w:rPr>
          <w:bCs/>
          <w:sz w:val="20"/>
          <w:szCs w:val="20"/>
        </w:rPr>
        <w:t xml:space="preserve">ood </w:t>
      </w:r>
      <w:r w:rsidRPr="00976F31">
        <w:rPr>
          <w:bCs/>
          <w:sz w:val="20"/>
          <w:szCs w:val="20"/>
        </w:rPr>
        <w:t>M</w:t>
      </w:r>
      <w:r w:rsidR="00672FCD">
        <w:rPr>
          <w:bCs/>
          <w:sz w:val="20"/>
          <w:szCs w:val="20"/>
        </w:rPr>
        <w:t xml:space="preserve">anufacturing </w:t>
      </w:r>
      <w:r w:rsidRPr="00976F31">
        <w:rPr>
          <w:bCs/>
          <w:sz w:val="20"/>
          <w:szCs w:val="20"/>
        </w:rPr>
        <w:t>P</w:t>
      </w:r>
      <w:r w:rsidR="00672FCD">
        <w:rPr>
          <w:bCs/>
          <w:sz w:val="20"/>
          <w:szCs w:val="20"/>
        </w:rPr>
        <w:t>ractice (GMP)</w:t>
      </w:r>
      <w:r w:rsidRPr="00976F31">
        <w:rPr>
          <w:bCs/>
          <w:sz w:val="20"/>
          <w:szCs w:val="20"/>
        </w:rPr>
        <w:t>-, and inspection requirements which introduce ambiguity and complexity in global drug development, potentially leading to a delay in patient access to orphan drugs.</w:t>
      </w:r>
    </w:p>
    <w:p w14:paraId="56579D81" w14:textId="77777777" w:rsidR="008504B1" w:rsidRPr="00976F31" w:rsidRDefault="008504B1" w:rsidP="007D64CA">
      <w:pPr>
        <w:pStyle w:val="ListParagraph"/>
        <w:numPr>
          <w:ilvl w:val="0"/>
          <w:numId w:val="3"/>
        </w:numPr>
        <w:spacing w:after="0" w:line="360" w:lineRule="auto"/>
        <w:jc w:val="both"/>
        <w:rPr>
          <w:b/>
          <w:bCs/>
          <w:i/>
          <w:sz w:val="20"/>
          <w:szCs w:val="20"/>
        </w:rPr>
      </w:pPr>
      <w:r w:rsidRPr="00976F31">
        <w:rPr>
          <w:b/>
          <w:bCs/>
          <w:i/>
          <w:sz w:val="20"/>
          <w:szCs w:val="20"/>
        </w:rPr>
        <w:t>Market Exclusivity</w:t>
      </w:r>
    </w:p>
    <w:p w14:paraId="03F9CD00" w14:textId="4D1FCE7E" w:rsidR="00BF29F6" w:rsidRDefault="008504B1" w:rsidP="00BF29F6">
      <w:pPr>
        <w:spacing w:line="360" w:lineRule="auto"/>
        <w:jc w:val="both"/>
        <w:rPr>
          <w:bCs/>
          <w:sz w:val="20"/>
          <w:szCs w:val="20"/>
        </w:rPr>
      </w:pPr>
      <w:r w:rsidRPr="00976F31">
        <w:rPr>
          <w:bCs/>
          <w:sz w:val="20"/>
          <w:szCs w:val="20"/>
        </w:rPr>
        <w:t>A defined period of market exclusivity constitutes an important orphan drug incentive but is not commonly included in orphan regulations. While the EU ensures 10-year market exclusivity period versus only 7 years in the US, the orphan status in the EU can be reviewed and thus reduced by 4 years if the designation criteria are no longer met at Year 6. In addition, in the EU, orphan exclusivity may be extended by a further two years upon completion of an agreed paediatric investigation plan (PIP) and the inclusion of the paediatric data within the approved product labelling.</w:t>
      </w:r>
      <w:r w:rsidRPr="00BF29F6">
        <w:rPr>
          <w:bCs/>
          <w:sz w:val="20"/>
          <w:szCs w:val="20"/>
        </w:rPr>
        <w:t xml:space="preserve"> </w:t>
      </w:r>
      <w:r w:rsidRPr="00976F31">
        <w:rPr>
          <w:bCs/>
          <w:sz w:val="20"/>
          <w:szCs w:val="20"/>
        </w:rPr>
        <w:t xml:space="preserve">In addition, the </w:t>
      </w:r>
      <w:r w:rsidR="002F3902">
        <w:rPr>
          <w:bCs/>
          <w:sz w:val="20"/>
          <w:szCs w:val="20"/>
        </w:rPr>
        <w:t xml:space="preserve">EU </w:t>
      </w:r>
      <w:r w:rsidRPr="00976F31">
        <w:rPr>
          <w:bCs/>
          <w:sz w:val="20"/>
          <w:szCs w:val="20"/>
        </w:rPr>
        <w:t xml:space="preserve">marketing exclusivity </w:t>
      </w:r>
      <w:r w:rsidR="002F3902">
        <w:rPr>
          <w:bCs/>
          <w:sz w:val="20"/>
          <w:szCs w:val="20"/>
        </w:rPr>
        <w:t xml:space="preserve">clause </w:t>
      </w:r>
      <w:r w:rsidRPr="00976F31">
        <w:rPr>
          <w:bCs/>
          <w:sz w:val="20"/>
          <w:szCs w:val="20"/>
        </w:rPr>
        <w:t>allows that other similar products may not be approved if they are considered similar.</w:t>
      </w:r>
      <w:r w:rsidR="00352208" w:rsidRPr="00976F31">
        <w:rPr>
          <w:bCs/>
          <w:sz w:val="20"/>
          <w:szCs w:val="20"/>
        </w:rPr>
        <w:t xml:space="preserve"> </w:t>
      </w:r>
      <w:r w:rsidR="00BF29F6" w:rsidRPr="00BF29F6">
        <w:rPr>
          <w:bCs/>
          <w:sz w:val="20"/>
          <w:szCs w:val="20"/>
        </w:rPr>
        <w:t>In Japan orphan drugs benefit from an extended data exclusivity period (referred to as ‘re-examination’ period) of ten years, against eight years for NCEs and four years for new indications of drugs already approved. Orphan exclusivity runs parallel to other rules on data exclusivity and market protection.  Market exclusivity should be a key element of orphan regulations and mandatory in countries where local clinical trials are required and/or there is inadequate IP protection.  At a bare minimum, the regulations should include strong data protection provisions to encourage the introduction of orphan treatments into the market.</w:t>
      </w:r>
    </w:p>
    <w:p w14:paraId="12960E1A" w14:textId="77777777" w:rsidR="008504B1" w:rsidRPr="00976F31" w:rsidRDefault="008504B1" w:rsidP="007D64CA">
      <w:pPr>
        <w:pStyle w:val="ListParagraph"/>
        <w:numPr>
          <w:ilvl w:val="0"/>
          <w:numId w:val="19"/>
        </w:numPr>
        <w:spacing w:after="0" w:line="360" w:lineRule="auto"/>
        <w:jc w:val="both"/>
        <w:rPr>
          <w:b/>
          <w:bCs/>
          <w:i/>
          <w:sz w:val="20"/>
          <w:szCs w:val="20"/>
        </w:rPr>
      </w:pPr>
      <w:r w:rsidRPr="00976F31">
        <w:rPr>
          <w:b/>
          <w:bCs/>
          <w:i/>
          <w:sz w:val="20"/>
          <w:szCs w:val="20"/>
        </w:rPr>
        <w:lastRenderedPageBreak/>
        <w:t>Pre-licensing support</w:t>
      </w:r>
    </w:p>
    <w:p w14:paraId="21A7A436" w14:textId="73DDE6BD" w:rsidR="008504B1" w:rsidRPr="00976F31" w:rsidRDefault="008504B1" w:rsidP="006A625A">
      <w:pPr>
        <w:spacing w:line="360" w:lineRule="auto"/>
        <w:jc w:val="both"/>
        <w:rPr>
          <w:bCs/>
          <w:sz w:val="20"/>
          <w:szCs w:val="20"/>
        </w:rPr>
      </w:pPr>
      <w:r w:rsidRPr="00976F31">
        <w:rPr>
          <w:bCs/>
          <w:sz w:val="20"/>
          <w:szCs w:val="20"/>
        </w:rPr>
        <w:t xml:space="preserve">Early and close interactions with Health Authorities on orphan medicinal products, including access to scientific and regulatory advice during drug development allow manufacturers to gain an understanding of what regulatory authorities are expecting in terms of product development, including clinical endpoints. Due to the complexity of drug development </w:t>
      </w:r>
      <w:r w:rsidR="002F3902">
        <w:rPr>
          <w:bCs/>
          <w:sz w:val="20"/>
          <w:szCs w:val="20"/>
        </w:rPr>
        <w:t>for</w:t>
      </w:r>
      <w:r w:rsidRPr="00976F31">
        <w:rPr>
          <w:bCs/>
          <w:sz w:val="20"/>
          <w:szCs w:val="20"/>
        </w:rPr>
        <w:t xml:space="preserve"> rare diseases and the limited number of disease experts, pre-licencing discussions are also an opportunity for authorities to better understand the product and bring relevant experts early enough into the evaluation/ authorization process. </w:t>
      </w:r>
    </w:p>
    <w:p w14:paraId="151935F5" w14:textId="77777777" w:rsidR="008504B1" w:rsidRPr="00976F31" w:rsidRDefault="008504B1" w:rsidP="006A625A">
      <w:pPr>
        <w:pStyle w:val="ListParagraph"/>
        <w:numPr>
          <w:ilvl w:val="0"/>
          <w:numId w:val="3"/>
        </w:numPr>
        <w:spacing w:line="360" w:lineRule="auto"/>
        <w:jc w:val="both"/>
        <w:rPr>
          <w:b/>
          <w:bCs/>
          <w:i/>
          <w:sz w:val="20"/>
          <w:szCs w:val="20"/>
        </w:rPr>
      </w:pPr>
      <w:r w:rsidRPr="00976F31">
        <w:rPr>
          <w:b/>
          <w:bCs/>
          <w:i/>
          <w:sz w:val="20"/>
          <w:szCs w:val="20"/>
        </w:rPr>
        <w:t>Local clinical trial waiver</w:t>
      </w:r>
    </w:p>
    <w:p w14:paraId="0337B766" w14:textId="128BA3E5" w:rsidR="008504B1" w:rsidRPr="00976F31" w:rsidRDefault="008504B1" w:rsidP="007D64CA">
      <w:pPr>
        <w:spacing w:after="0" w:line="360" w:lineRule="auto"/>
        <w:jc w:val="both"/>
        <w:rPr>
          <w:bCs/>
          <w:sz w:val="20"/>
          <w:szCs w:val="20"/>
        </w:rPr>
      </w:pPr>
      <w:r w:rsidRPr="00976F31">
        <w:rPr>
          <w:bCs/>
          <w:sz w:val="20"/>
          <w:szCs w:val="20"/>
        </w:rPr>
        <w:t xml:space="preserve">In some countries clinical data </w:t>
      </w:r>
      <w:r w:rsidR="00A62E1B">
        <w:rPr>
          <w:bCs/>
          <w:sz w:val="20"/>
          <w:szCs w:val="20"/>
        </w:rPr>
        <w:t>in the local population is required</w:t>
      </w:r>
      <w:r w:rsidR="00A62E1B" w:rsidRPr="00976F31">
        <w:rPr>
          <w:bCs/>
          <w:sz w:val="20"/>
          <w:szCs w:val="20"/>
        </w:rPr>
        <w:t xml:space="preserve"> </w:t>
      </w:r>
      <w:r w:rsidRPr="00976F31">
        <w:rPr>
          <w:bCs/>
          <w:sz w:val="20"/>
          <w:szCs w:val="20"/>
        </w:rPr>
        <w:t>to be able to register medicinal products. Given the frequent challenge to find sufficient numbers of rare disease patients at the country level that satisfy clinical trial entry criteria, clinical trial waiver exemption</w:t>
      </w:r>
      <w:r w:rsidR="002F3902">
        <w:rPr>
          <w:bCs/>
          <w:sz w:val="20"/>
          <w:szCs w:val="20"/>
        </w:rPr>
        <w:t>s</w:t>
      </w:r>
      <w:r w:rsidRPr="00976F31">
        <w:rPr>
          <w:bCs/>
          <w:sz w:val="20"/>
          <w:szCs w:val="20"/>
        </w:rPr>
        <w:t xml:space="preserve"> and limited post approval trials </w:t>
      </w:r>
      <w:r w:rsidR="00675BBF">
        <w:rPr>
          <w:bCs/>
          <w:sz w:val="20"/>
          <w:szCs w:val="20"/>
        </w:rPr>
        <w:t>should be encouraged</w:t>
      </w:r>
      <w:r w:rsidRPr="00976F31">
        <w:rPr>
          <w:bCs/>
          <w:sz w:val="20"/>
          <w:szCs w:val="20"/>
        </w:rPr>
        <w:t xml:space="preserve">.  </w:t>
      </w:r>
    </w:p>
    <w:p w14:paraId="0B836ACC" w14:textId="4454CAD4" w:rsidR="008504B1" w:rsidRPr="00976F31" w:rsidRDefault="008504B1" w:rsidP="006A625A">
      <w:pPr>
        <w:spacing w:line="360" w:lineRule="auto"/>
        <w:jc w:val="both"/>
        <w:rPr>
          <w:bCs/>
          <w:sz w:val="20"/>
          <w:szCs w:val="20"/>
        </w:rPr>
      </w:pPr>
      <w:r w:rsidRPr="00976F31">
        <w:rPr>
          <w:bCs/>
          <w:sz w:val="20"/>
          <w:szCs w:val="20"/>
        </w:rPr>
        <w:t>A good example is provided by countries such as Taiwan and Korea</w:t>
      </w:r>
      <w:r w:rsidR="00740407">
        <w:rPr>
          <w:bCs/>
          <w:sz w:val="20"/>
          <w:szCs w:val="20"/>
        </w:rPr>
        <w:t xml:space="preserve">, which </w:t>
      </w:r>
      <w:r w:rsidRPr="00976F31">
        <w:rPr>
          <w:bCs/>
          <w:sz w:val="20"/>
          <w:szCs w:val="20"/>
        </w:rPr>
        <w:t xml:space="preserve">accept global clinical data and </w:t>
      </w:r>
      <w:r w:rsidR="00740407">
        <w:rPr>
          <w:bCs/>
          <w:sz w:val="20"/>
          <w:szCs w:val="20"/>
        </w:rPr>
        <w:t>provide for the</w:t>
      </w:r>
      <w:r w:rsidRPr="00976F31">
        <w:rPr>
          <w:bCs/>
          <w:sz w:val="20"/>
          <w:szCs w:val="20"/>
        </w:rPr>
        <w:t xml:space="preserve"> systematic waiver of requirements to conduct local clinical trials for orphan medicinal products.  </w:t>
      </w:r>
    </w:p>
    <w:p w14:paraId="0B02943D" w14:textId="77777777" w:rsidR="008504B1" w:rsidRPr="00976F31" w:rsidRDefault="008504B1" w:rsidP="006A625A">
      <w:pPr>
        <w:pStyle w:val="ListParagraph"/>
        <w:numPr>
          <w:ilvl w:val="0"/>
          <w:numId w:val="19"/>
        </w:numPr>
        <w:spacing w:line="360" w:lineRule="auto"/>
        <w:jc w:val="both"/>
        <w:rPr>
          <w:b/>
          <w:bCs/>
          <w:i/>
          <w:sz w:val="20"/>
          <w:szCs w:val="20"/>
        </w:rPr>
      </w:pPr>
      <w:r w:rsidRPr="00976F31">
        <w:rPr>
          <w:b/>
          <w:bCs/>
          <w:i/>
          <w:sz w:val="20"/>
          <w:szCs w:val="20"/>
        </w:rPr>
        <w:t xml:space="preserve">Import testing and local GMP &amp; inspection requirements </w:t>
      </w:r>
    </w:p>
    <w:p w14:paraId="521B5350" w14:textId="1231EF72" w:rsidR="006F2E09" w:rsidRDefault="008504B1" w:rsidP="007D64CA">
      <w:pPr>
        <w:spacing w:after="0" w:line="360" w:lineRule="auto"/>
        <w:jc w:val="both"/>
        <w:rPr>
          <w:bCs/>
          <w:sz w:val="20"/>
          <w:szCs w:val="20"/>
        </w:rPr>
      </w:pPr>
      <w:r w:rsidRPr="00976F31">
        <w:rPr>
          <w:bCs/>
          <w:sz w:val="20"/>
          <w:szCs w:val="20"/>
        </w:rPr>
        <w:t>For orphan medicinal products, the number and size of batches produced per year are often small and the number of involved manufacturing sites is usually very limited. EFPIA encourages national regulatory authorities (NRAs) to support global convergence of pharmaceutical regulations and guidance, and not to impose additional local/ national requirements beyond internationally recognized standards</w:t>
      </w:r>
      <w:r w:rsidR="006F2E09">
        <w:rPr>
          <w:bCs/>
          <w:sz w:val="20"/>
          <w:szCs w:val="20"/>
        </w:rPr>
        <w:t xml:space="preserve">, </w:t>
      </w:r>
      <w:r w:rsidRPr="00976F31">
        <w:rPr>
          <w:bCs/>
          <w:sz w:val="20"/>
          <w:szCs w:val="20"/>
        </w:rPr>
        <w:t>such as ICH</w:t>
      </w:r>
      <w:r w:rsidR="006F2E09">
        <w:rPr>
          <w:bCs/>
          <w:sz w:val="20"/>
          <w:szCs w:val="20"/>
        </w:rPr>
        <w:t>,</w:t>
      </w:r>
      <w:r w:rsidRPr="00976F31">
        <w:rPr>
          <w:bCs/>
          <w:sz w:val="20"/>
          <w:szCs w:val="20"/>
        </w:rPr>
        <w:t xml:space="preserve"> on the manufacturers of medicinal products and active pharmaceutical ingredients. </w:t>
      </w:r>
    </w:p>
    <w:p w14:paraId="7CFDAB11" w14:textId="1CEA759E" w:rsidR="008504B1" w:rsidRPr="00976F31" w:rsidRDefault="008504B1" w:rsidP="007D64CA">
      <w:pPr>
        <w:spacing w:after="0" w:line="360" w:lineRule="auto"/>
        <w:jc w:val="both"/>
        <w:rPr>
          <w:bCs/>
          <w:sz w:val="20"/>
          <w:szCs w:val="20"/>
        </w:rPr>
      </w:pPr>
      <w:r w:rsidRPr="00976F31">
        <w:rPr>
          <w:bCs/>
          <w:sz w:val="20"/>
          <w:szCs w:val="20"/>
        </w:rPr>
        <w:t xml:space="preserve">This consideration is of even greater relevance for companies active in orphan indications, since it could have a pronounced negative effect on innovation in this space. In concrete terms this means NRAs should consider, </w:t>
      </w:r>
      <w:r w:rsidR="006F2E09">
        <w:rPr>
          <w:bCs/>
          <w:sz w:val="20"/>
          <w:szCs w:val="20"/>
        </w:rPr>
        <w:t>for example,</w:t>
      </w:r>
      <w:r w:rsidRPr="00976F31">
        <w:rPr>
          <w:bCs/>
          <w:sz w:val="20"/>
          <w:szCs w:val="20"/>
        </w:rPr>
        <w:t xml:space="preserve"> exemptions of current requirements regarding local manufacturing, import (re-)testing, national GMP inspections etc., as applicable. Following the theme of supporting global convergence of regulatory standards, EFPIA also encourages NRAs to rely on inspections done by other health authorities which have demonstrated the relevant competencies</w:t>
      </w:r>
      <w:r w:rsidR="006F2E09">
        <w:rPr>
          <w:bCs/>
          <w:sz w:val="20"/>
          <w:szCs w:val="20"/>
        </w:rPr>
        <w:t xml:space="preserve">, for </w:t>
      </w:r>
      <w:r w:rsidR="00675BBF">
        <w:rPr>
          <w:bCs/>
          <w:sz w:val="20"/>
          <w:szCs w:val="20"/>
        </w:rPr>
        <w:t>example as</w:t>
      </w:r>
      <w:r w:rsidRPr="00976F31">
        <w:rPr>
          <w:bCs/>
          <w:sz w:val="20"/>
          <w:szCs w:val="20"/>
        </w:rPr>
        <w:t xml:space="preserve"> a member of PIC/S. </w:t>
      </w:r>
    </w:p>
    <w:p w14:paraId="2A98B33F" w14:textId="77777777" w:rsidR="008504B1" w:rsidRPr="00976F31" w:rsidRDefault="008504B1" w:rsidP="007D64CA">
      <w:pPr>
        <w:spacing w:after="0" w:line="360" w:lineRule="auto"/>
        <w:jc w:val="both"/>
        <w:rPr>
          <w:bCs/>
          <w:sz w:val="20"/>
          <w:szCs w:val="20"/>
        </w:rPr>
      </w:pPr>
    </w:p>
    <w:p w14:paraId="3AF1D04A" w14:textId="77777777" w:rsidR="00AC106D" w:rsidRDefault="00AC106D" w:rsidP="00AC106D">
      <w:pPr>
        <w:pBdr>
          <w:top w:val="single" w:sz="4" w:space="1" w:color="auto"/>
          <w:left w:val="single" w:sz="4" w:space="4" w:color="auto"/>
          <w:bottom w:val="single" w:sz="4" w:space="1" w:color="auto"/>
          <w:right w:val="single" w:sz="4" w:space="4" w:color="auto"/>
        </w:pBdr>
        <w:spacing w:after="0"/>
        <w:jc w:val="both"/>
        <w:rPr>
          <w:b/>
          <w:bCs/>
          <w:i/>
          <w:sz w:val="20"/>
          <w:szCs w:val="20"/>
        </w:rPr>
      </w:pPr>
      <w:r w:rsidRPr="00180AE3">
        <w:rPr>
          <w:b/>
          <w:bCs/>
          <w:i/>
          <w:sz w:val="20"/>
          <w:szCs w:val="20"/>
        </w:rPr>
        <w:t>EFPIA Recommendations</w:t>
      </w:r>
    </w:p>
    <w:p w14:paraId="3F214C55" w14:textId="65A20058" w:rsidR="008504B1" w:rsidRPr="00976F31" w:rsidRDefault="008504B1" w:rsidP="007D64CA">
      <w:pPr>
        <w:pBdr>
          <w:top w:val="single" w:sz="4" w:space="1" w:color="auto"/>
          <w:left w:val="single" w:sz="4" w:space="4" w:color="auto"/>
          <w:bottom w:val="single" w:sz="4" w:space="1" w:color="auto"/>
          <w:right w:val="single" w:sz="4" w:space="4" w:color="auto"/>
        </w:pBdr>
        <w:spacing w:after="0"/>
        <w:jc w:val="both"/>
        <w:rPr>
          <w:bCs/>
          <w:i/>
          <w:sz w:val="20"/>
          <w:szCs w:val="20"/>
        </w:rPr>
      </w:pPr>
      <w:r w:rsidRPr="00976F31">
        <w:rPr>
          <w:rFonts w:cs="Arial"/>
          <w:bCs/>
          <w:i/>
          <w:kern w:val="24"/>
          <w:sz w:val="20"/>
          <w:szCs w:val="20"/>
        </w:rPr>
        <w:t xml:space="preserve">EFPIA believes the </w:t>
      </w:r>
      <w:r w:rsidRPr="00976F31">
        <w:rPr>
          <w:bCs/>
          <w:i/>
          <w:sz w:val="20"/>
          <w:szCs w:val="20"/>
        </w:rPr>
        <w:t xml:space="preserve">right incentive scheme is essential to encourage investment in developing treatments for rare diseases, leading </w:t>
      </w:r>
      <w:r w:rsidRPr="00976F31">
        <w:rPr>
          <w:i/>
          <w:sz w:val="20"/>
          <w:szCs w:val="20"/>
        </w:rPr>
        <w:t xml:space="preserve">to significant new research &amp; development, global clinical trials and new innovative drugs. </w:t>
      </w:r>
      <w:r w:rsidRPr="00976F31">
        <w:rPr>
          <w:bCs/>
          <w:i/>
          <w:sz w:val="20"/>
          <w:szCs w:val="20"/>
        </w:rPr>
        <w:t>A well-defined period of market exclusivity constitutes the backbone of orphan drug specific incentives as well as waivers of local clinical trial data, local manufacturing, import testing, and national GMP requirements, as applicable.</w:t>
      </w:r>
    </w:p>
    <w:p w14:paraId="184C41CA" w14:textId="77777777" w:rsidR="001F5220" w:rsidRPr="00976F31" w:rsidRDefault="001F5220" w:rsidP="007D64CA">
      <w:pPr>
        <w:spacing w:after="0" w:line="360" w:lineRule="auto"/>
        <w:jc w:val="both"/>
        <w:rPr>
          <w:rFonts w:ascii="Arial" w:eastAsia="Verdana" w:hAnsi="Arial" w:cs="Arial"/>
          <w:b/>
          <w:color w:val="000000" w:themeColor="text1"/>
          <w:sz w:val="20"/>
          <w:szCs w:val="20"/>
          <w:u w:color="000000"/>
          <w:lang w:eastAsia="en-GB"/>
        </w:rPr>
      </w:pPr>
    </w:p>
    <w:p w14:paraId="408495B6" w14:textId="77777777" w:rsidR="005F0A02" w:rsidRPr="00976F31" w:rsidRDefault="00616171" w:rsidP="00AC106D">
      <w:pPr>
        <w:pStyle w:val="Heading1"/>
        <w:spacing w:line="360" w:lineRule="auto"/>
        <w:rPr>
          <w:rFonts w:eastAsia="Verdana"/>
          <w:u w:color="000000"/>
        </w:rPr>
      </w:pPr>
      <w:r w:rsidRPr="00976F31">
        <w:rPr>
          <w:rFonts w:eastAsia="Verdana"/>
          <w:u w:color="000000"/>
        </w:rPr>
        <w:lastRenderedPageBreak/>
        <w:t>Conclusion</w:t>
      </w:r>
    </w:p>
    <w:p w14:paraId="38FCB5D2" w14:textId="3B3928C1" w:rsidR="006009B9" w:rsidRDefault="00A62C7F" w:rsidP="00AC106D">
      <w:pPr>
        <w:spacing w:after="0" w:line="360" w:lineRule="auto"/>
        <w:jc w:val="both"/>
        <w:rPr>
          <w:bCs/>
          <w:sz w:val="20"/>
          <w:szCs w:val="20"/>
        </w:rPr>
      </w:pPr>
      <w:r w:rsidRPr="00976F31">
        <w:rPr>
          <w:rFonts w:cs="EUAlbertina"/>
          <w:sz w:val="20"/>
          <w:szCs w:val="20"/>
        </w:rPr>
        <w:t xml:space="preserve">Patients </w:t>
      </w:r>
      <w:r w:rsidR="00B6665E" w:rsidRPr="00976F31">
        <w:rPr>
          <w:rFonts w:cs="EUAlbertina"/>
          <w:sz w:val="20"/>
          <w:szCs w:val="20"/>
        </w:rPr>
        <w:t xml:space="preserve">in all </w:t>
      </w:r>
      <w:r w:rsidR="00695822" w:rsidRPr="00976F31">
        <w:rPr>
          <w:rFonts w:cs="EUAlbertina"/>
          <w:sz w:val="20"/>
          <w:szCs w:val="20"/>
        </w:rPr>
        <w:t xml:space="preserve">countries </w:t>
      </w:r>
      <w:r w:rsidR="00B6665E" w:rsidRPr="00976F31">
        <w:rPr>
          <w:rFonts w:cs="EUAlbertina"/>
          <w:sz w:val="20"/>
          <w:szCs w:val="20"/>
        </w:rPr>
        <w:t xml:space="preserve">worldwide </w:t>
      </w:r>
      <w:r w:rsidR="00695822" w:rsidRPr="00976F31">
        <w:rPr>
          <w:rFonts w:cs="EUAlbertina"/>
          <w:sz w:val="20"/>
          <w:szCs w:val="20"/>
        </w:rPr>
        <w:t xml:space="preserve">would benefit </w:t>
      </w:r>
      <w:r w:rsidR="00B6665E" w:rsidRPr="00976F31">
        <w:rPr>
          <w:rFonts w:cs="EUAlbertina"/>
          <w:sz w:val="20"/>
          <w:szCs w:val="20"/>
        </w:rPr>
        <w:t xml:space="preserve">from </w:t>
      </w:r>
      <w:r w:rsidR="00695822" w:rsidRPr="00976F31">
        <w:rPr>
          <w:rFonts w:cs="EUAlbertina"/>
          <w:sz w:val="20"/>
          <w:szCs w:val="20"/>
        </w:rPr>
        <w:t>hav</w:t>
      </w:r>
      <w:r w:rsidR="00B6665E" w:rsidRPr="00976F31">
        <w:rPr>
          <w:rFonts w:cs="EUAlbertina"/>
          <w:sz w:val="20"/>
          <w:szCs w:val="20"/>
        </w:rPr>
        <w:t>ing</w:t>
      </w:r>
      <w:r w:rsidR="00695822" w:rsidRPr="00976F31">
        <w:rPr>
          <w:rFonts w:cs="EUAlbertina"/>
          <w:sz w:val="20"/>
          <w:szCs w:val="20"/>
        </w:rPr>
        <w:t xml:space="preserve"> a dedicated regulatory framework and </w:t>
      </w:r>
      <w:r w:rsidRPr="00976F31">
        <w:rPr>
          <w:rFonts w:cs="EUAlbertina"/>
          <w:sz w:val="20"/>
          <w:szCs w:val="20"/>
        </w:rPr>
        <w:t xml:space="preserve">including common definitions and </w:t>
      </w:r>
      <w:r w:rsidR="00695822" w:rsidRPr="00976F31">
        <w:rPr>
          <w:rFonts w:cs="EUAlbertina"/>
          <w:sz w:val="20"/>
          <w:szCs w:val="20"/>
        </w:rPr>
        <w:t>incentives in place</w:t>
      </w:r>
      <w:r w:rsidR="006D30CB" w:rsidRPr="00976F31">
        <w:rPr>
          <w:rFonts w:cs="EUAlbertina"/>
          <w:sz w:val="20"/>
          <w:szCs w:val="20"/>
        </w:rPr>
        <w:t xml:space="preserve"> for orphan medicinal products</w:t>
      </w:r>
      <w:r w:rsidR="006009B9">
        <w:rPr>
          <w:rFonts w:cs="EUAlbertina"/>
          <w:sz w:val="20"/>
          <w:szCs w:val="20"/>
        </w:rPr>
        <w:t xml:space="preserve">, </w:t>
      </w:r>
      <w:r w:rsidR="00695822" w:rsidRPr="00976F31">
        <w:rPr>
          <w:rFonts w:cs="EUAlbertina"/>
          <w:sz w:val="20"/>
          <w:szCs w:val="20"/>
        </w:rPr>
        <w:t>including standard criteria for orphan designation</w:t>
      </w:r>
      <w:r w:rsidR="006009B9">
        <w:rPr>
          <w:rFonts w:cs="EUAlbertina"/>
          <w:sz w:val="20"/>
          <w:szCs w:val="20"/>
        </w:rPr>
        <w:t>.</w:t>
      </w:r>
      <w:r w:rsidR="00695822" w:rsidRPr="00976F31">
        <w:rPr>
          <w:rFonts w:cs="EUAlbertina"/>
          <w:sz w:val="20"/>
          <w:szCs w:val="20"/>
        </w:rPr>
        <w:t xml:space="preserve"> </w:t>
      </w:r>
      <w:r w:rsidR="006009B9">
        <w:rPr>
          <w:rFonts w:cs="EUAlbertina"/>
          <w:sz w:val="20"/>
          <w:szCs w:val="20"/>
        </w:rPr>
        <w:t>T</w:t>
      </w:r>
      <w:r w:rsidR="00033820" w:rsidRPr="00976F31">
        <w:rPr>
          <w:rFonts w:cs="EUAlbertina"/>
          <w:sz w:val="20"/>
          <w:szCs w:val="20"/>
        </w:rPr>
        <w:t xml:space="preserve">his would </w:t>
      </w:r>
      <w:r w:rsidR="00695822" w:rsidRPr="00976F31">
        <w:rPr>
          <w:rFonts w:cs="EUAlbertina"/>
          <w:sz w:val="20"/>
          <w:szCs w:val="20"/>
        </w:rPr>
        <w:t xml:space="preserve">foster </w:t>
      </w:r>
      <w:r w:rsidRPr="00976F31">
        <w:rPr>
          <w:rFonts w:cs="EUAlbertina"/>
          <w:sz w:val="20"/>
          <w:szCs w:val="20"/>
        </w:rPr>
        <w:t xml:space="preserve">global </w:t>
      </w:r>
      <w:r w:rsidR="00695822" w:rsidRPr="00976F31">
        <w:rPr>
          <w:rFonts w:cs="EUAlbertina"/>
          <w:sz w:val="20"/>
          <w:szCs w:val="20"/>
        </w:rPr>
        <w:t xml:space="preserve">development and local registration of new therapies for rare diseases. As technology advances, it is also expected that regulatory </w:t>
      </w:r>
      <w:r w:rsidRPr="00976F31">
        <w:rPr>
          <w:rFonts w:cs="EUAlbertina"/>
          <w:sz w:val="20"/>
          <w:szCs w:val="20"/>
        </w:rPr>
        <w:t xml:space="preserve">requirements and standards </w:t>
      </w:r>
      <w:r w:rsidR="00695822" w:rsidRPr="00976F31">
        <w:rPr>
          <w:rFonts w:cs="EUAlbertina"/>
          <w:sz w:val="20"/>
          <w:szCs w:val="20"/>
        </w:rPr>
        <w:t xml:space="preserve">should </w:t>
      </w:r>
      <w:r w:rsidRPr="00976F31">
        <w:rPr>
          <w:rFonts w:cs="EUAlbertina"/>
          <w:sz w:val="20"/>
          <w:szCs w:val="20"/>
        </w:rPr>
        <w:t xml:space="preserve">converge globally </w:t>
      </w:r>
      <w:r w:rsidR="00695822" w:rsidRPr="00976F31">
        <w:rPr>
          <w:rFonts w:cs="EUAlbertina"/>
          <w:sz w:val="20"/>
          <w:szCs w:val="20"/>
        </w:rPr>
        <w:t>to streamline the regulatory path to market for highly innovative</w:t>
      </w:r>
      <w:r w:rsidR="00C21154" w:rsidRPr="00976F31">
        <w:rPr>
          <w:rFonts w:cs="EUAlbertina"/>
          <w:sz w:val="20"/>
          <w:szCs w:val="20"/>
        </w:rPr>
        <w:t xml:space="preserve"> </w:t>
      </w:r>
      <w:r w:rsidR="00AC106D">
        <w:rPr>
          <w:rFonts w:cs="EUAlbertina"/>
          <w:sz w:val="20"/>
          <w:szCs w:val="20"/>
        </w:rPr>
        <w:t>medicines</w:t>
      </w:r>
      <w:r w:rsidR="00695822" w:rsidRPr="00976F31">
        <w:rPr>
          <w:rFonts w:cs="EUAlbertina"/>
          <w:sz w:val="20"/>
          <w:szCs w:val="20"/>
        </w:rPr>
        <w:t xml:space="preserve"> for diseases with unmet medical need.</w:t>
      </w:r>
      <w:r w:rsidR="00616171" w:rsidRPr="00976F31">
        <w:rPr>
          <w:bCs/>
          <w:sz w:val="20"/>
          <w:szCs w:val="20"/>
        </w:rPr>
        <w:t xml:space="preserve"> </w:t>
      </w:r>
    </w:p>
    <w:p w14:paraId="1F28CED4" w14:textId="59968055" w:rsidR="00A62C7F" w:rsidRPr="00976F31" w:rsidRDefault="00B6665E" w:rsidP="00AC106D">
      <w:pPr>
        <w:spacing w:after="0" w:line="360" w:lineRule="auto"/>
        <w:jc w:val="both"/>
        <w:rPr>
          <w:bCs/>
          <w:sz w:val="20"/>
          <w:szCs w:val="20"/>
        </w:rPr>
      </w:pPr>
      <w:r w:rsidRPr="00976F31">
        <w:rPr>
          <w:bCs/>
          <w:sz w:val="20"/>
          <w:szCs w:val="20"/>
        </w:rPr>
        <w:t xml:space="preserve">This EFPIA document contains key points to consider relevant when drafting new </w:t>
      </w:r>
      <w:r w:rsidR="00A62C7F" w:rsidRPr="00976F31">
        <w:rPr>
          <w:bCs/>
          <w:sz w:val="20"/>
          <w:szCs w:val="20"/>
        </w:rPr>
        <w:t xml:space="preserve">laws </w:t>
      </w:r>
      <w:r w:rsidRPr="00976F31">
        <w:rPr>
          <w:bCs/>
          <w:sz w:val="20"/>
          <w:szCs w:val="20"/>
        </w:rPr>
        <w:t xml:space="preserve">or regulations for orphan medicinal products, in particular in emerging markets. </w:t>
      </w:r>
      <w:r w:rsidR="006009B9">
        <w:rPr>
          <w:bCs/>
          <w:sz w:val="20"/>
          <w:szCs w:val="20"/>
        </w:rPr>
        <w:t xml:space="preserve">We recommend </w:t>
      </w:r>
      <w:r w:rsidRPr="00976F31">
        <w:rPr>
          <w:bCs/>
          <w:sz w:val="20"/>
          <w:szCs w:val="20"/>
        </w:rPr>
        <w:t>tak</w:t>
      </w:r>
      <w:r w:rsidR="006009B9">
        <w:rPr>
          <w:bCs/>
          <w:sz w:val="20"/>
          <w:szCs w:val="20"/>
        </w:rPr>
        <w:t>ing</w:t>
      </w:r>
      <w:r w:rsidRPr="00976F31">
        <w:rPr>
          <w:bCs/>
          <w:sz w:val="20"/>
          <w:szCs w:val="20"/>
        </w:rPr>
        <w:t xml:space="preserve"> into consideration </w:t>
      </w:r>
      <w:r w:rsidR="00AD51CD">
        <w:rPr>
          <w:bCs/>
          <w:sz w:val="20"/>
          <w:szCs w:val="20"/>
        </w:rPr>
        <w:t xml:space="preserve">as well </w:t>
      </w:r>
      <w:r w:rsidRPr="00976F31">
        <w:rPr>
          <w:bCs/>
          <w:sz w:val="20"/>
          <w:szCs w:val="20"/>
        </w:rPr>
        <w:t xml:space="preserve">the recent EFPIA White </w:t>
      </w:r>
      <w:r w:rsidR="006009B9">
        <w:rPr>
          <w:bCs/>
          <w:sz w:val="20"/>
          <w:szCs w:val="20"/>
        </w:rPr>
        <w:t>P</w:t>
      </w:r>
      <w:r w:rsidRPr="00976F31">
        <w:rPr>
          <w:bCs/>
          <w:sz w:val="20"/>
          <w:szCs w:val="20"/>
        </w:rPr>
        <w:t>aper on reliance and expedited registration pathways in emerging markets</w:t>
      </w:r>
      <w:r w:rsidR="00AD51CD">
        <w:rPr>
          <w:bCs/>
          <w:sz w:val="20"/>
          <w:szCs w:val="20"/>
        </w:rPr>
        <w:t xml:space="preserve"> as a way</w:t>
      </w:r>
      <w:r w:rsidRPr="00976F31">
        <w:rPr>
          <w:bCs/>
          <w:sz w:val="20"/>
          <w:szCs w:val="20"/>
        </w:rPr>
        <w:t xml:space="preserve"> to mitigate potential </w:t>
      </w:r>
      <w:r w:rsidR="00A62C7F" w:rsidRPr="00976F31">
        <w:rPr>
          <w:bCs/>
          <w:sz w:val="20"/>
          <w:szCs w:val="20"/>
        </w:rPr>
        <w:t xml:space="preserve">capability </w:t>
      </w:r>
      <w:r w:rsidRPr="00976F31">
        <w:rPr>
          <w:bCs/>
          <w:sz w:val="20"/>
          <w:szCs w:val="20"/>
        </w:rPr>
        <w:t>constraints at the level of national regulatory authorities</w:t>
      </w:r>
      <w:r w:rsidR="00AD51CD">
        <w:rPr>
          <w:bCs/>
          <w:sz w:val="20"/>
          <w:szCs w:val="20"/>
        </w:rPr>
        <w:t xml:space="preserve"> and</w:t>
      </w:r>
      <w:r w:rsidR="00A62C7F" w:rsidRPr="00976F31">
        <w:rPr>
          <w:bCs/>
          <w:sz w:val="20"/>
          <w:szCs w:val="20"/>
        </w:rPr>
        <w:t xml:space="preserve"> t</w:t>
      </w:r>
      <w:r w:rsidR="00F97E65" w:rsidRPr="00976F31">
        <w:rPr>
          <w:bCs/>
          <w:sz w:val="20"/>
          <w:szCs w:val="20"/>
        </w:rPr>
        <w:t xml:space="preserve">o avoid potential </w:t>
      </w:r>
      <w:r w:rsidR="00A62C7F" w:rsidRPr="00976F31">
        <w:rPr>
          <w:bCs/>
          <w:sz w:val="20"/>
          <w:szCs w:val="20"/>
        </w:rPr>
        <w:t>disadvantage</w:t>
      </w:r>
      <w:r w:rsidR="00F97E65" w:rsidRPr="00976F31">
        <w:rPr>
          <w:bCs/>
          <w:sz w:val="20"/>
          <w:szCs w:val="20"/>
        </w:rPr>
        <w:t>s to</w:t>
      </w:r>
      <w:r w:rsidR="00A62C7F" w:rsidRPr="00976F31">
        <w:rPr>
          <w:bCs/>
          <w:sz w:val="20"/>
          <w:szCs w:val="20"/>
        </w:rPr>
        <w:t xml:space="preserve"> patients in those countries.</w:t>
      </w:r>
    </w:p>
    <w:p w14:paraId="6E2C2546" w14:textId="12F81A5D" w:rsidR="005B724B" w:rsidRPr="00976F31" w:rsidRDefault="00814AB5" w:rsidP="00801A19">
      <w:r w:rsidRPr="00976F31">
        <w:rPr>
          <w:b/>
          <w:bCs/>
          <w:sz w:val="24"/>
          <w:szCs w:val="24"/>
        </w:rPr>
        <w:br w:type="page"/>
      </w:r>
      <w:r w:rsidR="005B724B" w:rsidRPr="00AC106D">
        <w:rPr>
          <w:rFonts w:ascii="Cambria" w:eastAsia="Times New Roman" w:hAnsi="Cambria" w:cs="Times New Roman"/>
          <w:b/>
          <w:bCs/>
          <w:color w:val="365F91" w:themeColor="accent1" w:themeShade="BF"/>
          <w:kern w:val="36"/>
          <w:sz w:val="28"/>
          <w:szCs w:val="48"/>
          <w:lang w:eastAsia="en-GB"/>
        </w:rPr>
        <w:lastRenderedPageBreak/>
        <w:t>Glossary</w:t>
      </w:r>
    </w:p>
    <w:p w14:paraId="2E9EE8DD" w14:textId="26FABB5A" w:rsidR="003932D5" w:rsidRPr="00976F31" w:rsidRDefault="003932D5" w:rsidP="00AC106D">
      <w:pPr>
        <w:spacing w:after="0" w:line="360" w:lineRule="auto"/>
        <w:jc w:val="both"/>
        <w:rPr>
          <w:bCs/>
          <w:i/>
          <w:sz w:val="20"/>
          <w:szCs w:val="20"/>
          <w:u w:val="single"/>
        </w:rPr>
      </w:pPr>
      <w:r w:rsidRPr="00976F31">
        <w:rPr>
          <w:bCs/>
          <w:i/>
          <w:sz w:val="20"/>
          <w:szCs w:val="20"/>
          <w:u w:val="single"/>
        </w:rPr>
        <w:t>Stringent Regulatory Authority (SRA)</w:t>
      </w:r>
      <w:r w:rsidR="005247AC">
        <w:rPr>
          <w:bCs/>
          <w:i/>
          <w:sz w:val="20"/>
          <w:szCs w:val="20"/>
          <w:u w:val="single"/>
        </w:rPr>
        <w:t xml:space="preserve"> [</w:t>
      </w:r>
      <w:r w:rsidR="000F2712">
        <w:rPr>
          <w:bCs/>
          <w:i/>
          <w:sz w:val="20"/>
          <w:szCs w:val="20"/>
          <w:u w:val="single"/>
        </w:rPr>
        <w:t xml:space="preserve">or </w:t>
      </w:r>
      <w:r w:rsidR="005247AC">
        <w:rPr>
          <w:bCs/>
          <w:i/>
          <w:sz w:val="20"/>
          <w:szCs w:val="20"/>
          <w:u w:val="single"/>
        </w:rPr>
        <w:t>newly named “WHO listed countries”</w:t>
      </w:r>
      <w:r w:rsidR="000F2712">
        <w:rPr>
          <w:bCs/>
          <w:i/>
          <w:sz w:val="20"/>
          <w:szCs w:val="20"/>
          <w:u w:val="single"/>
        </w:rPr>
        <w:t>]</w:t>
      </w:r>
    </w:p>
    <w:p w14:paraId="215838A2" w14:textId="77777777" w:rsidR="003932D5" w:rsidRPr="00976F31" w:rsidRDefault="003932D5" w:rsidP="00AC106D">
      <w:pPr>
        <w:spacing w:after="0" w:line="360" w:lineRule="auto"/>
        <w:jc w:val="both"/>
        <w:rPr>
          <w:bCs/>
          <w:i/>
          <w:sz w:val="20"/>
          <w:szCs w:val="20"/>
        </w:rPr>
      </w:pPr>
      <w:r w:rsidRPr="00976F31">
        <w:rPr>
          <w:bCs/>
          <w:i/>
          <w:sz w:val="20"/>
          <w:szCs w:val="20"/>
        </w:rPr>
        <w:t xml:space="preserve">According to the current WHO interim definition, a Stringent Regulatory Authority is referred to as a regulatory authority that is: </w:t>
      </w:r>
    </w:p>
    <w:p w14:paraId="50816A3B" w14:textId="77777777" w:rsidR="003932D5" w:rsidRPr="00976F31" w:rsidRDefault="003932D5" w:rsidP="00AC106D">
      <w:pPr>
        <w:spacing w:after="0" w:line="360" w:lineRule="auto"/>
        <w:jc w:val="both"/>
        <w:rPr>
          <w:bCs/>
          <w:i/>
          <w:sz w:val="20"/>
          <w:szCs w:val="20"/>
        </w:rPr>
      </w:pPr>
      <w:r w:rsidRPr="00976F31">
        <w:rPr>
          <w:bCs/>
          <w:i/>
          <w:sz w:val="20"/>
          <w:szCs w:val="20"/>
        </w:rPr>
        <w:t>a)</w:t>
      </w:r>
      <w:r w:rsidRPr="00976F31">
        <w:rPr>
          <w:bCs/>
          <w:i/>
          <w:sz w:val="20"/>
          <w:szCs w:val="20"/>
        </w:rPr>
        <w:tab/>
        <w:t>a member of ICH prior to 23 October 2015, namely: the US Food and Drug Administration, the European Commission and the Ministry of Health, Labour and Welfare of Japan also represented by the Pharmaceuticals and Medical Devices Agency; or</w:t>
      </w:r>
    </w:p>
    <w:p w14:paraId="0FD528F0" w14:textId="77777777" w:rsidR="003932D5" w:rsidRPr="00976F31" w:rsidRDefault="003932D5" w:rsidP="00AC106D">
      <w:pPr>
        <w:spacing w:after="0" w:line="360" w:lineRule="auto"/>
        <w:jc w:val="both"/>
        <w:rPr>
          <w:bCs/>
          <w:i/>
          <w:sz w:val="20"/>
          <w:szCs w:val="20"/>
        </w:rPr>
      </w:pPr>
      <w:r w:rsidRPr="00976F31">
        <w:rPr>
          <w:bCs/>
          <w:i/>
          <w:sz w:val="20"/>
          <w:szCs w:val="20"/>
        </w:rPr>
        <w:t>b)</w:t>
      </w:r>
      <w:r w:rsidRPr="00976F31">
        <w:rPr>
          <w:bCs/>
          <w:i/>
          <w:sz w:val="20"/>
          <w:szCs w:val="20"/>
        </w:rPr>
        <w:tab/>
        <w:t>an ICH observer prior to 23 October 2015, namely: the European Free Trade Association, as represented by Swissmedic and Health Canada; or</w:t>
      </w:r>
    </w:p>
    <w:p w14:paraId="7F9027F2" w14:textId="77777777" w:rsidR="003932D5" w:rsidRPr="00976F31" w:rsidRDefault="003932D5" w:rsidP="00AC106D">
      <w:pPr>
        <w:spacing w:after="0" w:line="360" w:lineRule="auto"/>
        <w:jc w:val="both"/>
        <w:rPr>
          <w:bCs/>
          <w:i/>
          <w:sz w:val="20"/>
          <w:szCs w:val="20"/>
        </w:rPr>
      </w:pPr>
      <w:r w:rsidRPr="00976F31">
        <w:rPr>
          <w:bCs/>
          <w:i/>
          <w:sz w:val="20"/>
          <w:szCs w:val="20"/>
        </w:rPr>
        <w:t>c)</w:t>
      </w:r>
      <w:r w:rsidRPr="00976F31">
        <w:rPr>
          <w:bCs/>
          <w:i/>
          <w:sz w:val="20"/>
          <w:szCs w:val="20"/>
        </w:rPr>
        <w:tab/>
        <w:t>a regulatory authority associated with an ICH member through a legally-binding, mutual recognition agreement prior to 23 October 2015, namely: Australia, Iceland, Liechtenstein and Norway.</w:t>
      </w:r>
    </w:p>
    <w:p w14:paraId="78F4B00F" w14:textId="77777777" w:rsidR="005B724B" w:rsidRPr="00976F31" w:rsidRDefault="005B724B" w:rsidP="00AC106D">
      <w:pPr>
        <w:spacing w:after="0" w:line="360" w:lineRule="auto"/>
        <w:jc w:val="both"/>
        <w:rPr>
          <w:bCs/>
          <w:sz w:val="20"/>
          <w:szCs w:val="20"/>
        </w:rPr>
      </w:pPr>
    </w:p>
    <w:sectPr w:rsidR="005B724B" w:rsidRPr="00976F31">
      <w:headerReference w:type="default" r:id="rId14"/>
      <w:footerReference w:type="default" r:id="rId15"/>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BA4FA" w14:textId="77777777" w:rsidR="00DC62C0" w:rsidRDefault="00DC62C0" w:rsidP="008A3D64">
      <w:pPr>
        <w:spacing w:after="0" w:line="240" w:lineRule="auto"/>
      </w:pPr>
      <w:r>
        <w:separator/>
      </w:r>
    </w:p>
    <w:p w14:paraId="5C14E927" w14:textId="77777777" w:rsidR="00DC62C0" w:rsidRDefault="00DC62C0"/>
  </w:endnote>
  <w:endnote w:type="continuationSeparator" w:id="0">
    <w:p w14:paraId="4EA4AC01" w14:textId="77777777" w:rsidR="00DC62C0" w:rsidRDefault="00DC62C0" w:rsidP="008A3D64">
      <w:pPr>
        <w:spacing w:after="0" w:line="240" w:lineRule="auto"/>
      </w:pPr>
      <w:r>
        <w:continuationSeparator/>
      </w:r>
    </w:p>
    <w:p w14:paraId="1E678712" w14:textId="77777777" w:rsidR="00DC62C0" w:rsidRDefault="00DC62C0"/>
  </w:endnote>
  <w:endnote w:type="continuationNotice" w:id="1">
    <w:p w14:paraId="40756FD9" w14:textId="77777777" w:rsidR="00DC62C0" w:rsidRDefault="00DC62C0">
      <w:pPr>
        <w:spacing w:after="0" w:line="240" w:lineRule="auto"/>
      </w:pPr>
    </w:p>
  </w:endnote>
  <w:endnote w:id="2">
    <w:p w14:paraId="06DD9F04" w14:textId="77777777" w:rsidR="00BE0B5A" w:rsidRPr="00976F31" w:rsidRDefault="00BE0B5A" w:rsidP="00BE0B5A">
      <w:pPr>
        <w:pStyle w:val="Heading1"/>
        <w:spacing w:line="360" w:lineRule="auto"/>
      </w:pPr>
      <w:r w:rsidRPr="00976F31">
        <w:t>References</w:t>
      </w:r>
    </w:p>
    <w:p w14:paraId="6896FAFE" w14:textId="7E8F0756" w:rsidR="00197485" w:rsidRPr="00BE0B5A" w:rsidRDefault="00197485">
      <w:pPr>
        <w:pStyle w:val="EndnoteText"/>
        <w:rPr>
          <w:rFonts w:asciiTheme="minorHAnsi" w:hAnsiTheme="minorHAnsi" w:cstheme="minorHAnsi"/>
          <w:sz w:val="16"/>
        </w:rPr>
      </w:pPr>
      <w:r w:rsidRPr="00BE0B5A">
        <w:rPr>
          <w:rStyle w:val="EndnoteReference"/>
          <w:rFonts w:asciiTheme="minorHAnsi" w:hAnsiTheme="minorHAnsi" w:cstheme="minorHAnsi"/>
        </w:rPr>
        <w:endnoteRef/>
      </w:r>
      <w:r w:rsidRPr="00BE0B5A">
        <w:rPr>
          <w:rFonts w:asciiTheme="minorHAnsi" w:hAnsiTheme="minorHAnsi" w:cstheme="minorHAnsi"/>
          <w:sz w:val="16"/>
        </w:rPr>
        <w:t xml:space="preserve"> </w:t>
      </w:r>
      <w:hyperlink r:id="rId1" w:anchor="Search_param_field" w:history="1">
        <w:r w:rsidRPr="00BE0B5A">
          <w:rPr>
            <w:rFonts w:asciiTheme="minorHAnsi" w:hAnsiTheme="minorHAnsi" w:cstheme="minorHAnsi"/>
            <w:bCs/>
            <w:sz w:val="16"/>
          </w:rPr>
          <w:t>FDA Orphan Drug Designations and Approvals Database</w:t>
        </w:r>
      </w:hyperlink>
      <w:r w:rsidRPr="00BE0B5A">
        <w:rPr>
          <w:rFonts w:asciiTheme="minorHAnsi" w:hAnsiTheme="minorHAnsi" w:cstheme="minorHAnsi"/>
          <w:bCs/>
          <w:sz w:val="16"/>
        </w:rPr>
        <w:t xml:space="preserve"> </w:t>
      </w:r>
      <w:hyperlink r:id="rId2" w:history="1">
        <w:r w:rsidRPr="00BE0B5A">
          <w:rPr>
            <w:rStyle w:val="Hyperlink"/>
            <w:rFonts w:asciiTheme="minorHAnsi" w:hAnsiTheme="minorHAnsi" w:cstheme="minorHAnsi"/>
            <w:bCs/>
            <w:sz w:val="16"/>
          </w:rPr>
          <w:t>https://www.fda.gov/ForIndustry/DevelopingProductsforRareDiseasesConditions/HowtoapplyforOrphanProductDesignation/ucm267378.htm</w:t>
        </w:r>
      </w:hyperlink>
    </w:p>
  </w:endnote>
  <w:endnote w:id="3">
    <w:p w14:paraId="3DCA1545" w14:textId="7D577212" w:rsidR="00197485" w:rsidRPr="0071378C" w:rsidRDefault="00197485">
      <w:pPr>
        <w:pStyle w:val="EndnoteText"/>
        <w:rPr>
          <w:rFonts w:asciiTheme="minorHAnsi" w:hAnsiTheme="minorHAnsi" w:cstheme="minorHAnsi"/>
          <w:sz w:val="16"/>
          <w:szCs w:val="16"/>
        </w:rPr>
      </w:pPr>
      <w:r w:rsidRPr="00BE0B5A">
        <w:rPr>
          <w:rStyle w:val="EndnoteReference"/>
          <w:rFonts w:asciiTheme="minorHAnsi" w:hAnsiTheme="minorHAnsi" w:cstheme="minorHAnsi"/>
        </w:rPr>
        <w:endnoteRef/>
      </w:r>
      <w:r w:rsidRPr="00BE0B5A">
        <w:rPr>
          <w:rFonts w:asciiTheme="minorHAnsi" w:hAnsiTheme="minorHAnsi" w:cstheme="minorHAnsi"/>
          <w:sz w:val="16"/>
        </w:rPr>
        <w:t xml:space="preserve"> </w:t>
      </w:r>
      <w:r w:rsidRPr="00BE0B5A">
        <w:rPr>
          <w:rFonts w:asciiTheme="minorHAnsi" w:hAnsiTheme="minorHAnsi" w:cstheme="minorHAnsi"/>
          <w:bCs/>
          <w:sz w:val="16"/>
        </w:rPr>
        <w:t>EMA Orphan Medicines Figures 2000-</w:t>
      </w:r>
      <w:r w:rsidRPr="0071378C">
        <w:rPr>
          <w:rFonts w:asciiTheme="minorHAnsi" w:hAnsiTheme="minorHAnsi" w:cstheme="minorHAnsi"/>
          <w:bCs/>
          <w:sz w:val="16"/>
          <w:szCs w:val="16"/>
        </w:rPr>
        <w:t xml:space="preserve">2017: </w:t>
      </w:r>
      <w:hyperlink r:id="rId3" w:history="1">
        <w:r w:rsidR="0071378C" w:rsidRPr="0071378C">
          <w:rPr>
            <w:rStyle w:val="Hyperlink"/>
            <w:rFonts w:asciiTheme="minorHAnsi" w:hAnsiTheme="minorHAnsi" w:cstheme="minorHAnsi"/>
            <w:sz w:val="16"/>
            <w:szCs w:val="16"/>
          </w:rPr>
          <w:t>https://www.ema.europa.eu/documents/other/orphan-medicines-figures-2000-2017_en.pdf</w:t>
        </w:r>
      </w:hyperlink>
    </w:p>
  </w:endnote>
  <w:endnote w:id="4">
    <w:p w14:paraId="37AE8194" w14:textId="37D6FF2A" w:rsidR="00197485" w:rsidRPr="00BE0B5A" w:rsidRDefault="00197485">
      <w:pPr>
        <w:pStyle w:val="EndnoteText"/>
        <w:rPr>
          <w:rFonts w:asciiTheme="minorHAnsi" w:hAnsiTheme="minorHAnsi" w:cstheme="minorHAnsi"/>
          <w:sz w:val="16"/>
        </w:rPr>
      </w:pPr>
      <w:r w:rsidRPr="00BE0B5A">
        <w:rPr>
          <w:rStyle w:val="EndnoteReference"/>
          <w:rFonts w:asciiTheme="minorHAnsi" w:hAnsiTheme="minorHAnsi" w:cstheme="minorHAnsi"/>
        </w:rPr>
        <w:endnoteRef/>
      </w:r>
      <w:r w:rsidRPr="00BE0B5A">
        <w:rPr>
          <w:rFonts w:asciiTheme="minorHAnsi" w:hAnsiTheme="minorHAnsi" w:cstheme="minorHAnsi"/>
        </w:rPr>
        <w:t xml:space="preserve"> </w:t>
      </w:r>
      <w:hyperlink r:id="rId4" w:history="1">
        <w:r w:rsidRPr="00BE0B5A">
          <w:rPr>
            <w:rFonts w:asciiTheme="minorHAnsi" w:hAnsiTheme="minorHAnsi" w:cstheme="minorHAnsi"/>
            <w:bCs/>
            <w:sz w:val="16"/>
          </w:rPr>
          <w:t xml:space="preserve">Japan – </w:t>
        </w:r>
      </w:hyperlink>
      <w:hyperlink r:id="rId5" w:history="1">
        <w:r w:rsidRPr="00BE0B5A">
          <w:rPr>
            <w:rStyle w:val="Hyperlink"/>
            <w:rFonts w:asciiTheme="minorHAnsi" w:hAnsiTheme="minorHAnsi" w:cstheme="minorHAnsi"/>
            <w:sz w:val="16"/>
          </w:rPr>
          <w:t>List of Designated Drugs, NIBIOHN</w:t>
        </w:r>
      </w:hyperlink>
    </w:p>
  </w:endnote>
  <w:endnote w:id="5">
    <w:p w14:paraId="5FBCC913" w14:textId="31EEE4F3" w:rsidR="00197485" w:rsidRPr="00BE0B5A" w:rsidRDefault="00197485">
      <w:pPr>
        <w:pStyle w:val="EndnoteText"/>
        <w:rPr>
          <w:rFonts w:asciiTheme="minorHAnsi" w:hAnsiTheme="minorHAnsi" w:cstheme="minorHAnsi"/>
          <w:sz w:val="16"/>
        </w:rPr>
      </w:pPr>
      <w:r w:rsidRPr="00BE0B5A">
        <w:rPr>
          <w:rStyle w:val="EndnoteReference"/>
          <w:rFonts w:asciiTheme="minorHAnsi" w:hAnsiTheme="minorHAnsi" w:cstheme="minorHAnsi"/>
        </w:rPr>
        <w:endnoteRef/>
      </w:r>
      <w:r w:rsidRPr="00BE0B5A">
        <w:rPr>
          <w:rFonts w:asciiTheme="minorHAnsi" w:hAnsiTheme="minorHAnsi" w:cstheme="minorHAnsi"/>
        </w:rPr>
        <w:t xml:space="preserve"> </w:t>
      </w:r>
      <w:hyperlink r:id="rId6" w:history="1">
        <w:r w:rsidRPr="00BE0B5A">
          <w:rPr>
            <w:rFonts w:asciiTheme="minorHAnsi" w:hAnsiTheme="minorHAnsi" w:cstheme="minorHAnsi"/>
            <w:bCs/>
            <w:sz w:val="16"/>
          </w:rPr>
          <w:t>FDA-TRACK (data from 2011-2017)</w:t>
        </w:r>
      </w:hyperlink>
    </w:p>
  </w:endnote>
  <w:endnote w:id="6">
    <w:p w14:paraId="797899A3" w14:textId="3B59609E" w:rsidR="00197485" w:rsidRPr="00BE0B5A" w:rsidRDefault="00197485">
      <w:pPr>
        <w:pStyle w:val="EndnoteText"/>
        <w:rPr>
          <w:rFonts w:asciiTheme="minorHAnsi" w:hAnsiTheme="minorHAnsi" w:cstheme="minorHAnsi"/>
          <w:sz w:val="16"/>
        </w:rPr>
      </w:pPr>
      <w:r w:rsidRPr="00BE0B5A">
        <w:rPr>
          <w:rStyle w:val="EndnoteReference"/>
          <w:rFonts w:asciiTheme="minorHAnsi" w:hAnsiTheme="minorHAnsi" w:cstheme="minorHAnsi"/>
        </w:rPr>
        <w:endnoteRef/>
      </w:r>
      <w:r w:rsidRPr="00BE0B5A">
        <w:rPr>
          <w:rFonts w:asciiTheme="minorHAnsi" w:hAnsiTheme="minorHAnsi" w:cstheme="minorHAnsi"/>
        </w:rPr>
        <w:t xml:space="preserve"> </w:t>
      </w:r>
      <w:hyperlink r:id="rId7" w:history="1">
        <w:r w:rsidRPr="00BE0B5A">
          <w:rPr>
            <w:rFonts w:asciiTheme="minorHAnsi" w:hAnsiTheme="minorHAnsi" w:cstheme="minorHAnsi"/>
            <w:bCs/>
            <w:sz w:val="16"/>
          </w:rPr>
          <w:t xml:space="preserve">FDA </w:t>
        </w:r>
      </w:hyperlink>
      <w:r w:rsidRPr="00BE0B5A">
        <w:rPr>
          <w:rFonts w:asciiTheme="minorHAnsi" w:hAnsiTheme="minorHAnsi" w:cstheme="minorHAnsi"/>
          <w:bCs/>
          <w:sz w:val="16"/>
        </w:rPr>
        <w:t>: Developing Products for rare diseases conditions</w:t>
      </w:r>
    </w:p>
  </w:endnote>
  <w:endnote w:id="7">
    <w:p w14:paraId="26629766" w14:textId="5F0CA8B6" w:rsidR="00BE0B5A" w:rsidRPr="00BE0B5A" w:rsidRDefault="00BE0B5A">
      <w:pPr>
        <w:pStyle w:val="EndnoteText"/>
        <w:rPr>
          <w:rFonts w:asciiTheme="minorHAnsi" w:hAnsiTheme="minorHAnsi" w:cstheme="minorHAnsi"/>
          <w:sz w:val="16"/>
        </w:rPr>
      </w:pPr>
      <w:r w:rsidRPr="00BE0B5A">
        <w:rPr>
          <w:rStyle w:val="EndnoteReference"/>
          <w:rFonts w:asciiTheme="minorHAnsi" w:hAnsiTheme="minorHAnsi" w:cstheme="minorHAnsi"/>
        </w:rPr>
        <w:endnoteRef/>
      </w:r>
      <w:r w:rsidRPr="00BE0B5A">
        <w:rPr>
          <w:rFonts w:asciiTheme="minorHAnsi" w:hAnsiTheme="minorHAnsi" w:cstheme="minorHAnsi"/>
        </w:rPr>
        <w:t xml:space="preserve"> </w:t>
      </w:r>
      <w:r w:rsidRPr="00BE0B5A">
        <w:rPr>
          <w:rFonts w:asciiTheme="minorHAnsi" w:hAnsiTheme="minorHAnsi" w:cstheme="minorHAnsi"/>
          <w:bCs/>
          <w:sz w:val="16"/>
        </w:rPr>
        <w:t>Pugatch Consilium report 2017- IP Incentives and Biopharmaceutical Innovation</w:t>
      </w:r>
    </w:p>
  </w:endnote>
  <w:endnote w:id="8">
    <w:p w14:paraId="5D04FD3A" w14:textId="29479BB8" w:rsidR="00BE0B5A" w:rsidRPr="00BE0B5A" w:rsidRDefault="00BE0B5A">
      <w:pPr>
        <w:pStyle w:val="EndnoteText"/>
        <w:rPr>
          <w:rFonts w:asciiTheme="minorHAnsi" w:hAnsiTheme="minorHAnsi" w:cstheme="minorHAnsi"/>
          <w:sz w:val="16"/>
        </w:rPr>
      </w:pPr>
      <w:r w:rsidRPr="00BE0B5A">
        <w:rPr>
          <w:rStyle w:val="EndnoteReference"/>
          <w:rFonts w:asciiTheme="minorHAnsi" w:hAnsiTheme="minorHAnsi" w:cstheme="minorHAnsi"/>
        </w:rPr>
        <w:endnoteRef/>
      </w:r>
      <w:r w:rsidRPr="00BE0B5A">
        <w:rPr>
          <w:rFonts w:asciiTheme="minorHAnsi" w:hAnsiTheme="minorHAnsi" w:cstheme="minorHAnsi"/>
          <w:sz w:val="16"/>
        </w:rPr>
        <w:t xml:space="preserve"> </w:t>
      </w:r>
      <w:hyperlink r:id="rId8" w:history="1">
        <w:r w:rsidRPr="00BE0B5A">
          <w:rPr>
            <w:rStyle w:val="Hyperlink"/>
            <w:rFonts w:asciiTheme="minorHAnsi" w:hAnsiTheme="minorHAnsi" w:cstheme="minorHAnsi"/>
            <w:bCs/>
            <w:sz w:val="16"/>
            <w:lang w:val="en"/>
          </w:rPr>
          <w:t>Orphan drugs: the regulatory environment</w:t>
        </w:r>
      </w:hyperlink>
    </w:p>
  </w:endnote>
  <w:endnote w:id="9">
    <w:p w14:paraId="1CEA1C8A" w14:textId="3B3EECDE" w:rsidR="00BE0B5A" w:rsidRPr="00BE0B5A" w:rsidRDefault="00BE0B5A">
      <w:pPr>
        <w:pStyle w:val="EndnoteText"/>
        <w:rPr>
          <w:rFonts w:asciiTheme="minorHAnsi" w:hAnsiTheme="minorHAnsi" w:cstheme="minorHAnsi"/>
          <w:sz w:val="16"/>
        </w:rPr>
      </w:pPr>
      <w:r w:rsidRPr="00BE0B5A">
        <w:rPr>
          <w:rStyle w:val="EndnoteReference"/>
          <w:rFonts w:asciiTheme="minorHAnsi" w:hAnsiTheme="minorHAnsi" w:cstheme="minorHAnsi"/>
        </w:rPr>
        <w:endnoteRef/>
      </w:r>
      <w:r w:rsidRPr="00BE0B5A">
        <w:rPr>
          <w:rFonts w:asciiTheme="minorHAnsi" w:hAnsiTheme="minorHAnsi" w:cstheme="minorHAnsi"/>
          <w:sz w:val="16"/>
        </w:rPr>
        <w:t xml:space="preserve"> </w:t>
      </w:r>
      <w:hyperlink r:id="rId9" w:history="1">
        <w:r w:rsidRPr="00BE0B5A">
          <w:rPr>
            <w:rStyle w:val="Hyperlink"/>
            <w:rFonts w:asciiTheme="minorHAnsi" w:hAnsiTheme="minorHAnsi" w:cstheme="minorHAnsi"/>
            <w:sz w:val="16"/>
          </w:rPr>
          <w:t>21 CFR 312.300(b)</w:t>
        </w:r>
      </w:hyperlink>
      <w:r w:rsidRPr="00BE0B5A">
        <w:rPr>
          <w:rFonts w:asciiTheme="minorHAnsi" w:hAnsiTheme="minorHAnsi" w:cstheme="minorHAnsi"/>
          <w:bCs/>
          <w:sz w:val="16"/>
        </w:rPr>
        <w:t xml:space="preserve"> (Expanded Access to Investigational Drugs for Treatment Use)</w:t>
      </w:r>
    </w:p>
  </w:endnote>
  <w:endnote w:id="10">
    <w:p w14:paraId="26090943" w14:textId="2C4107D3" w:rsidR="00BE0B5A" w:rsidRPr="00BE0B5A" w:rsidRDefault="00BE0B5A">
      <w:pPr>
        <w:pStyle w:val="EndnoteText"/>
        <w:rPr>
          <w:rFonts w:asciiTheme="minorHAnsi" w:hAnsiTheme="minorHAnsi" w:cstheme="minorHAnsi"/>
          <w:sz w:val="16"/>
        </w:rPr>
      </w:pPr>
      <w:r w:rsidRPr="00BE0B5A">
        <w:rPr>
          <w:rStyle w:val="EndnoteReference"/>
          <w:rFonts w:asciiTheme="minorHAnsi" w:hAnsiTheme="minorHAnsi" w:cstheme="minorHAnsi"/>
        </w:rPr>
        <w:endnoteRef/>
      </w:r>
      <w:r w:rsidRPr="00BE0B5A">
        <w:rPr>
          <w:rFonts w:asciiTheme="minorHAnsi" w:hAnsiTheme="minorHAnsi" w:cstheme="minorHAnsi"/>
        </w:rPr>
        <w:t xml:space="preserve"> </w:t>
      </w:r>
      <w:r w:rsidRPr="00BE0B5A">
        <w:rPr>
          <w:rFonts w:asciiTheme="minorHAnsi" w:hAnsiTheme="minorHAnsi" w:cstheme="minorHAnsi"/>
          <w:sz w:val="16"/>
        </w:rPr>
        <w:t>FDA Guidance “</w:t>
      </w:r>
      <w:hyperlink r:id="rId10" w:history="1">
        <w:r w:rsidRPr="00BE0B5A">
          <w:rPr>
            <w:rStyle w:val="Hyperlink"/>
            <w:rFonts w:asciiTheme="minorHAnsi" w:hAnsiTheme="minorHAnsi" w:cstheme="minorHAnsi"/>
            <w:sz w:val="16"/>
          </w:rPr>
          <w:t>Expedited programs for Serious Conditions- Drugs and Biologics</w:t>
        </w:r>
      </w:hyperlink>
      <w:r w:rsidRPr="00BE0B5A">
        <w:rPr>
          <w:rFonts w:asciiTheme="minorHAnsi" w:hAnsiTheme="minorHAnsi" w:cstheme="minorHAnsi"/>
          <w:sz w:val="16"/>
        </w:rPr>
        <w:t>”</w:t>
      </w:r>
    </w:p>
  </w:endnote>
  <w:endnote w:id="11">
    <w:p w14:paraId="06289561" w14:textId="62E7CB9E" w:rsidR="00BE0B5A" w:rsidRPr="00BE0B5A" w:rsidRDefault="00BE0B5A">
      <w:pPr>
        <w:pStyle w:val="EndnoteText"/>
        <w:rPr>
          <w:rFonts w:asciiTheme="minorHAnsi" w:hAnsiTheme="minorHAnsi" w:cstheme="minorHAnsi"/>
          <w:sz w:val="16"/>
        </w:rPr>
      </w:pPr>
      <w:r w:rsidRPr="00BE0B5A">
        <w:rPr>
          <w:rStyle w:val="EndnoteReference"/>
          <w:rFonts w:asciiTheme="minorHAnsi" w:hAnsiTheme="minorHAnsi" w:cstheme="minorHAnsi"/>
        </w:rPr>
        <w:endnoteRef/>
      </w:r>
      <w:r w:rsidRPr="00BE0B5A">
        <w:rPr>
          <w:rFonts w:asciiTheme="minorHAnsi" w:hAnsiTheme="minorHAnsi" w:cstheme="minorHAnsi"/>
          <w:sz w:val="16"/>
        </w:rPr>
        <w:t xml:space="preserve"> </w:t>
      </w:r>
      <w:hyperlink r:id="rId11" w:history="1">
        <w:r w:rsidRPr="00BE0B5A">
          <w:rPr>
            <w:rFonts w:asciiTheme="minorHAnsi" w:hAnsiTheme="minorHAnsi" w:cstheme="minorHAnsi"/>
            <w:sz w:val="16"/>
          </w:rPr>
          <w:t>21 U.S.C. §360bb(a)</w:t>
        </w:r>
      </w:hyperlink>
    </w:p>
  </w:endnote>
  <w:endnote w:id="12">
    <w:p w14:paraId="3B12C7CF" w14:textId="306DB314" w:rsidR="00BE0B5A" w:rsidRPr="00BE0B5A" w:rsidRDefault="00BE0B5A">
      <w:pPr>
        <w:pStyle w:val="EndnoteText"/>
        <w:rPr>
          <w:rFonts w:asciiTheme="minorHAnsi" w:hAnsiTheme="minorHAnsi" w:cstheme="minorHAnsi"/>
          <w:sz w:val="16"/>
        </w:rPr>
      </w:pPr>
      <w:r w:rsidRPr="00BE0B5A">
        <w:rPr>
          <w:rStyle w:val="EndnoteReference"/>
          <w:rFonts w:asciiTheme="minorHAnsi" w:hAnsiTheme="minorHAnsi" w:cstheme="minorHAnsi"/>
        </w:rPr>
        <w:endnoteRef/>
      </w:r>
      <w:r w:rsidRPr="00BE0B5A">
        <w:rPr>
          <w:rFonts w:asciiTheme="minorHAnsi" w:hAnsiTheme="minorHAnsi" w:cstheme="minorHAnsi"/>
        </w:rPr>
        <w:t xml:space="preserve"> </w:t>
      </w:r>
      <w:hyperlink r:id="rId12" w:history="1">
        <w:r w:rsidRPr="00BE0B5A">
          <w:rPr>
            <w:rStyle w:val="Hyperlink"/>
            <w:rFonts w:asciiTheme="minorHAnsi" w:hAnsiTheme="minorHAnsi" w:cstheme="minorHAnsi"/>
            <w:bCs/>
            <w:sz w:val="16"/>
          </w:rPr>
          <w:t>https://ojrd.biomedcentral.com/articles/10.1186/s13023-015-0251-8</w:t>
        </w:r>
      </w:hyperlink>
    </w:p>
  </w:endnote>
  <w:endnote w:id="13">
    <w:p w14:paraId="101AE068" w14:textId="77777777" w:rsidR="00BE0B5A" w:rsidRPr="00BE0B5A" w:rsidRDefault="00BE0B5A" w:rsidP="00BE0B5A">
      <w:pPr>
        <w:spacing w:after="0" w:line="240" w:lineRule="auto"/>
        <w:rPr>
          <w:rFonts w:cstheme="minorHAnsi"/>
          <w:bCs/>
          <w:sz w:val="16"/>
          <w:szCs w:val="20"/>
        </w:rPr>
      </w:pPr>
      <w:r w:rsidRPr="00BE0B5A">
        <w:rPr>
          <w:rStyle w:val="EndnoteReference"/>
          <w:rFonts w:asciiTheme="minorHAnsi" w:hAnsiTheme="minorHAnsi" w:cstheme="minorHAnsi"/>
        </w:rPr>
        <w:endnoteRef/>
      </w:r>
      <w:r w:rsidRPr="00BE0B5A">
        <w:rPr>
          <w:rFonts w:cstheme="minorHAnsi"/>
          <w:sz w:val="18"/>
        </w:rPr>
        <w:t xml:space="preserve"> </w:t>
      </w:r>
      <w:r w:rsidRPr="00BE0B5A">
        <w:rPr>
          <w:rFonts w:cstheme="minorHAnsi"/>
          <w:bCs/>
          <w:sz w:val="16"/>
          <w:szCs w:val="20"/>
        </w:rPr>
        <w:t xml:space="preserve">EFPIA White paper on reliance and expedited registration pathways in emerging markets (23/11/2017), available under: </w:t>
      </w:r>
    </w:p>
    <w:p w14:paraId="2228A513" w14:textId="721FB372" w:rsidR="00BE0B5A" w:rsidRDefault="00DC62C0" w:rsidP="00BE0B5A">
      <w:pPr>
        <w:pStyle w:val="EndnoteText"/>
      </w:pPr>
      <w:hyperlink r:id="rId13" w:history="1">
        <w:r w:rsidR="00BE0B5A" w:rsidRPr="00BE0B5A">
          <w:rPr>
            <w:rStyle w:val="Hyperlink"/>
            <w:rFonts w:asciiTheme="minorHAnsi" w:hAnsiTheme="minorHAnsi" w:cstheme="minorHAnsi"/>
            <w:bCs/>
            <w:sz w:val="16"/>
          </w:rPr>
          <w:t>https://www.efpia.eu/media/288592/white-paper-on-reliance-and-expedited-registration-pathways-in-emerging-markets.docx</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EUAlbertina">
    <w:altName w:val="EU Albertina"/>
    <w:panose1 w:val="020B0604020202020204"/>
    <w:charset w:val="00"/>
    <w:family w:val="roman"/>
    <w:notTrueType/>
    <w:pitch w:val="default"/>
    <w:sig w:usb0="00000003" w:usb1="00000000" w:usb2="00000000" w:usb3="00000000" w:csb0="00000001" w:csb1="00000000"/>
  </w:font>
  <w:font w:name="Agfa Rotis Sans Serif">
    <w:altName w:val="Cambria"/>
    <w:panose1 w:val="020B0604020202020204"/>
    <w:charset w:val="00"/>
    <w:family w:val="auto"/>
    <w:pitch w:val="variable"/>
    <w:sig w:usb0="00000003" w:usb1="00000000" w:usb2="00000000" w:usb3="00000000" w:csb0="00000001" w:csb1="00000000"/>
  </w:font>
  <w:font w:name="Frutiger 45 Light">
    <w:altName w:val="Cambria"/>
    <w:panose1 w:val="020B0604020202020204"/>
    <w:charset w:val="00"/>
    <w:family w:val="swiss"/>
    <w:pitch w:val="default"/>
    <w:sig w:usb0="00000003" w:usb1="00000000" w:usb2="00000000" w:usb3="00000000" w:csb0="00000001" w:csb1="00000000"/>
  </w:font>
  <w:font w:name="Playbill">
    <w:panose1 w:val="020B0604020202020204"/>
    <w:charset w:val="4D"/>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32846" w14:textId="503DAAAE" w:rsidR="008504B1" w:rsidDel="008504B1" w:rsidRDefault="008504B1" w:rsidP="008504B1">
    <w:pPr>
      <w:pStyle w:val="Footer"/>
      <w:jc w:val="center"/>
    </w:pPr>
  </w:p>
  <w:tbl>
    <w:tblPr>
      <w:tblStyle w:val="TableGrid1"/>
      <w:tblW w:w="828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4A0" w:firstRow="1" w:lastRow="0" w:firstColumn="1" w:lastColumn="0" w:noHBand="0" w:noVBand="1"/>
    </w:tblPr>
    <w:tblGrid>
      <w:gridCol w:w="828"/>
      <w:gridCol w:w="829"/>
      <w:gridCol w:w="829"/>
      <w:gridCol w:w="3313"/>
      <w:gridCol w:w="829"/>
      <w:gridCol w:w="829"/>
      <w:gridCol w:w="829"/>
    </w:tblGrid>
    <w:tr w:rsidR="008504B1" w:rsidRPr="00F11851" w14:paraId="180AAA2F" w14:textId="77777777" w:rsidTr="008379A8">
      <w:trPr>
        <w:trHeight w:val="728"/>
      </w:trPr>
      <w:tc>
        <w:tcPr>
          <w:tcW w:w="828" w:type="dxa"/>
        </w:tcPr>
        <w:p w14:paraId="3D1CFD77" w14:textId="77777777" w:rsidR="008504B1" w:rsidRPr="00F11851" w:rsidRDefault="008504B1" w:rsidP="008379A8">
          <w:pPr>
            <w:jc w:val="center"/>
            <w:rPr>
              <w:rFonts w:ascii="Arial" w:eastAsia="Times New Roman" w:hAnsi="Arial" w:cs="Times New Roman"/>
              <w:color w:val="000000"/>
              <w:sz w:val="20"/>
              <w:szCs w:val="24"/>
              <w:lang w:val="en-GB"/>
            </w:rPr>
          </w:pPr>
          <w:r w:rsidRPr="00F11851">
            <w:rPr>
              <w:rFonts w:ascii="Arial" w:eastAsia="Times New Roman" w:hAnsi="Arial" w:cs="Times New Roman"/>
              <w:noProof/>
              <w:color w:val="000000"/>
              <w:sz w:val="20"/>
              <w:szCs w:val="24"/>
              <w:lang w:eastAsia="zh-TW"/>
            </w:rPr>
            <w:drawing>
              <wp:inline distT="0" distB="0" distL="0" distR="0" wp14:anchorId="1C72BB69" wp14:editId="788C5DCB">
                <wp:extent cx="586740" cy="586740"/>
                <wp:effectExtent l="19050" t="0" r="3810" b="0"/>
                <wp:docPr id="43" name="Picture 14" descr="Bloc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4.png"/>
                        <pic:cNvPicPr/>
                      </pic:nvPicPr>
                      <pic:blipFill>
                        <a:blip r:embed="rId1"/>
                        <a:stretch>
                          <a:fillRect/>
                        </a:stretch>
                      </pic:blipFill>
                      <pic:spPr>
                        <a:xfrm>
                          <a:off x="0" y="0"/>
                          <a:ext cx="586740" cy="586740"/>
                        </a:xfrm>
                        <a:prstGeom prst="rect">
                          <a:avLst/>
                        </a:prstGeom>
                      </pic:spPr>
                    </pic:pic>
                  </a:graphicData>
                </a:graphic>
              </wp:inline>
            </w:drawing>
          </w:r>
        </w:p>
      </w:tc>
      <w:tc>
        <w:tcPr>
          <w:tcW w:w="829" w:type="dxa"/>
        </w:tcPr>
        <w:p w14:paraId="1C34979F" w14:textId="77777777" w:rsidR="008504B1" w:rsidRPr="00F11851" w:rsidRDefault="008504B1" w:rsidP="008379A8">
          <w:pPr>
            <w:jc w:val="center"/>
            <w:rPr>
              <w:rFonts w:ascii="Arial" w:eastAsia="Times New Roman" w:hAnsi="Arial" w:cs="Times New Roman"/>
              <w:color w:val="000000"/>
              <w:sz w:val="20"/>
              <w:szCs w:val="24"/>
              <w:lang w:val="en-GB"/>
            </w:rPr>
          </w:pPr>
          <w:r w:rsidRPr="00F11851">
            <w:rPr>
              <w:rFonts w:ascii="Arial" w:eastAsia="Times New Roman" w:hAnsi="Arial" w:cs="Times New Roman"/>
              <w:noProof/>
              <w:color w:val="000000"/>
              <w:sz w:val="20"/>
              <w:szCs w:val="24"/>
              <w:lang w:eastAsia="zh-TW"/>
            </w:rPr>
            <w:drawing>
              <wp:inline distT="0" distB="0" distL="0" distR="0" wp14:anchorId="3BF72CDB" wp14:editId="1480ADFF">
                <wp:extent cx="587375" cy="587375"/>
                <wp:effectExtent l="19050" t="0" r="3175" b="0"/>
                <wp:docPr id="44" name="Picture 15" descr="Bloc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5.png"/>
                        <pic:cNvPicPr/>
                      </pic:nvPicPr>
                      <pic:blipFill>
                        <a:blip r:embed="rId2"/>
                        <a:stretch>
                          <a:fillRect/>
                        </a:stretch>
                      </pic:blipFill>
                      <pic:spPr>
                        <a:xfrm>
                          <a:off x="0" y="0"/>
                          <a:ext cx="587375" cy="587375"/>
                        </a:xfrm>
                        <a:prstGeom prst="rect">
                          <a:avLst/>
                        </a:prstGeom>
                      </pic:spPr>
                    </pic:pic>
                  </a:graphicData>
                </a:graphic>
              </wp:inline>
            </w:drawing>
          </w:r>
        </w:p>
      </w:tc>
      <w:tc>
        <w:tcPr>
          <w:tcW w:w="829" w:type="dxa"/>
        </w:tcPr>
        <w:p w14:paraId="28A97CFD" w14:textId="77777777" w:rsidR="008504B1" w:rsidRPr="00F11851" w:rsidRDefault="008504B1" w:rsidP="008379A8">
          <w:pPr>
            <w:jc w:val="center"/>
            <w:rPr>
              <w:rFonts w:ascii="Arial" w:eastAsia="Times New Roman" w:hAnsi="Arial" w:cs="Times New Roman"/>
              <w:color w:val="000000"/>
              <w:sz w:val="20"/>
              <w:szCs w:val="24"/>
              <w:lang w:val="en-GB"/>
            </w:rPr>
          </w:pPr>
          <w:r w:rsidRPr="00F11851">
            <w:rPr>
              <w:rFonts w:ascii="Arial" w:eastAsia="Times New Roman" w:hAnsi="Arial" w:cs="Times New Roman"/>
              <w:noProof/>
              <w:color w:val="000000"/>
              <w:sz w:val="20"/>
              <w:szCs w:val="24"/>
              <w:lang w:eastAsia="zh-TW"/>
            </w:rPr>
            <w:drawing>
              <wp:inline distT="0" distB="0" distL="0" distR="0" wp14:anchorId="279FBA59" wp14:editId="35BCB057">
                <wp:extent cx="587375" cy="587375"/>
                <wp:effectExtent l="19050" t="0" r="3175" b="0"/>
                <wp:docPr id="45" name="Picture 16" descr="Blo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1.png"/>
                        <pic:cNvPicPr/>
                      </pic:nvPicPr>
                      <pic:blipFill>
                        <a:blip r:embed="rId3"/>
                        <a:stretch>
                          <a:fillRect/>
                        </a:stretch>
                      </pic:blipFill>
                      <pic:spPr>
                        <a:xfrm>
                          <a:off x="0" y="0"/>
                          <a:ext cx="587375" cy="587375"/>
                        </a:xfrm>
                        <a:prstGeom prst="rect">
                          <a:avLst/>
                        </a:prstGeom>
                      </pic:spPr>
                    </pic:pic>
                  </a:graphicData>
                </a:graphic>
              </wp:inline>
            </w:drawing>
          </w:r>
        </w:p>
      </w:tc>
      <w:tc>
        <w:tcPr>
          <w:tcW w:w="3313" w:type="dxa"/>
        </w:tcPr>
        <w:p w14:paraId="092CC1AB" w14:textId="77777777" w:rsidR="008504B1" w:rsidRPr="00F11851" w:rsidRDefault="008504B1" w:rsidP="008379A8">
          <w:pPr>
            <w:autoSpaceDE w:val="0"/>
            <w:autoSpaceDN w:val="0"/>
            <w:adjustRightInd w:val="0"/>
            <w:spacing w:line="180" w:lineRule="exact"/>
            <w:jc w:val="center"/>
            <w:rPr>
              <w:rFonts w:ascii="Calibri" w:hAnsi="Calibri" w:cs="Agfa Rotis Sans Serif"/>
              <w:b/>
              <w:color w:val="31808B"/>
              <w:sz w:val="20"/>
              <w:szCs w:val="16"/>
            </w:rPr>
          </w:pPr>
          <w:r w:rsidRPr="00F11851">
            <w:rPr>
              <w:rFonts w:ascii="Calibri" w:hAnsi="Calibri" w:cs="Agfa Rotis Sans Serif"/>
              <w:bCs/>
              <w:color w:val="31808B"/>
              <w:sz w:val="20"/>
              <w:szCs w:val="16"/>
            </w:rPr>
            <w:t>EFPIA Brussels Office</w:t>
          </w:r>
        </w:p>
        <w:p w14:paraId="150E62BD" w14:textId="77777777" w:rsidR="008504B1" w:rsidRPr="00F11851" w:rsidRDefault="008504B1" w:rsidP="008379A8">
          <w:pPr>
            <w:autoSpaceDE w:val="0"/>
            <w:autoSpaceDN w:val="0"/>
            <w:adjustRightInd w:val="0"/>
            <w:spacing w:line="180" w:lineRule="exact"/>
            <w:jc w:val="center"/>
            <w:rPr>
              <w:rFonts w:ascii="Calibri" w:hAnsi="Calibri" w:cs="Frutiger 45 Light"/>
              <w:b/>
              <w:color w:val="808080"/>
              <w:sz w:val="20"/>
              <w:szCs w:val="16"/>
            </w:rPr>
          </w:pPr>
          <w:r w:rsidRPr="00F11851">
            <w:rPr>
              <w:rFonts w:ascii="Calibri" w:hAnsi="Calibri" w:cs="Frutiger 45 Light"/>
              <w:color w:val="808080"/>
              <w:sz w:val="20"/>
              <w:szCs w:val="16"/>
            </w:rPr>
            <w:t xml:space="preserve">Leopold Plaza Building </w:t>
          </w:r>
          <w:r w:rsidRPr="00F11851">
            <w:rPr>
              <w:rFonts w:ascii="Calibri" w:hAnsi="Calibri" w:cs="Arial"/>
              <w:noProof/>
              <w:sz w:val="24"/>
              <w:szCs w:val="24"/>
              <w:lang w:eastAsia="zh-TW"/>
            </w:rPr>
            <w:drawing>
              <wp:inline distT="0" distB="0" distL="0" distR="0" wp14:anchorId="22C5C270" wp14:editId="17C10B72">
                <wp:extent cx="58998" cy="61912"/>
                <wp:effectExtent l="0" t="0" r="0" b="0"/>
                <wp:docPr id="46" name="Picture 2" descr="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png"/>
                        <pic:cNvPicPr/>
                      </pic:nvPicPr>
                      <pic:blipFill>
                        <a:blip r:embed="rId4" cstate="print"/>
                        <a:stretch>
                          <a:fillRect/>
                        </a:stretch>
                      </pic:blipFill>
                      <pic:spPr>
                        <a:xfrm>
                          <a:off x="0" y="0"/>
                          <a:ext cx="65827" cy="69078"/>
                        </a:xfrm>
                        <a:prstGeom prst="rect">
                          <a:avLst/>
                        </a:prstGeom>
                        <a:noFill/>
                      </pic:spPr>
                    </pic:pic>
                  </a:graphicData>
                </a:graphic>
              </wp:inline>
            </w:drawing>
          </w:r>
          <w:r w:rsidRPr="00F11851">
            <w:rPr>
              <w:rFonts w:ascii="Calibri" w:hAnsi="Calibri" w:cs="Playbill"/>
              <w:b/>
              <w:color w:val="808080"/>
              <w:sz w:val="36"/>
              <w:szCs w:val="26"/>
            </w:rPr>
            <w:t xml:space="preserve"> </w:t>
          </w:r>
          <w:r w:rsidRPr="00F11851">
            <w:rPr>
              <w:rFonts w:ascii="Calibri" w:hAnsi="Calibri" w:cs="Frutiger 45 Light"/>
              <w:color w:val="808080"/>
              <w:sz w:val="20"/>
              <w:szCs w:val="16"/>
            </w:rPr>
            <w:t xml:space="preserve">Rue du </w:t>
          </w:r>
          <w:proofErr w:type="spellStart"/>
          <w:r w:rsidRPr="00F11851">
            <w:rPr>
              <w:rFonts w:ascii="Calibri" w:hAnsi="Calibri" w:cs="Frutiger 45 Light"/>
              <w:color w:val="808080"/>
              <w:sz w:val="20"/>
              <w:szCs w:val="16"/>
            </w:rPr>
            <w:t>Trône</w:t>
          </w:r>
          <w:proofErr w:type="spellEnd"/>
          <w:r w:rsidRPr="00F11851">
            <w:rPr>
              <w:rFonts w:ascii="Calibri" w:hAnsi="Calibri" w:cs="Frutiger 45 Light"/>
              <w:color w:val="808080"/>
              <w:sz w:val="20"/>
              <w:szCs w:val="16"/>
            </w:rPr>
            <w:t xml:space="preserve"> 108 </w:t>
          </w:r>
        </w:p>
        <w:p w14:paraId="63EEA72D" w14:textId="77777777" w:rsidR="008504B1" w:rsidRPr="00F11851" w:rsidRDefault="008504B1" w:rsidP="008379A8">
          <w:pPr>
            <w:autoSpaceDE w:val="0"/>
            <w:autoSpaceDN w:val="0"/>
            <w:adjustRightInd w:val="0"/>
            <w:spacing w:line="180" w:lineRule="exact"/>
            <w:jc w:val="center"/>
            <w:rPr>
              <w:rFonts w:ascii="Calibri" w:hAnsi="Calibri" w:cs="Arial"/>
              <w:b/>
              <w:color w:val="808080"/>
              <w:sz w:val="20"/>
              <w:szCs w:val="24"/>
              <w:lang w:val="de-DE"/>
            </w:rPr>
          </w:pPr>
          <w:r w:rsidRPr="00F11851">
            <w:rPr>
              <w:rFonts w:ascii="Calibri" w:hAnsi="Calibri" w:cs="Agfa Rotis Sans Serif"/>
              <w:bCs/>
              <w:color w:val="808080"/>
              <w:sz w:val="20"/>
              <w:szCs w:val="16"/>
              <w:lang w:val="de-DE"/>
            </w:rPr>
            <w:t xml:space="preserve">B-1050 Brussels </w:t>
          </w:r>
          <w:r w:rsidRPr="00F11851">
            <w:rPr>
              <w:rFonts w:ascii="Calibri" w:hAnsi="Calibri" w:cs="Arial"/>
              <w:noProof/>
              <w:sz w:val="24"/>
              <w:szCs w:val="24"/>
              <w:lang w:eastAsia="zh-TW"/>
            </w:rPr>
            <w:drawing>
              <wp:inline distT="0" distB="0" distL="0" distR="0" wp14:anchorId="63E0D633" wp14:editId="43864ECD">
                <wp:extent cx="58998" cy="61912"/>
                <wp:effectExtent l="0" t="0" r="0" b="0"/>
                <wp:docPr id="47" name="Picture 2" descr="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png"/>
                        <pic:cNvPicPr/>
                      </pic:nvPicPr>
                      <pic:blipFill>
                        <a:blip r:embed="rId4" cstate="print"/>
                        <a:stretch>
                          <a:fillRect/>
                        </a:stretch>
                      </pic:blipFill>
                      <pic:spPr>
                        <a:xfrm>
                          <a:off x="0" y="0"/>
                          <a:ext cx="65827" cy="69078"/>
                        </a:xfrm>
                        <a:prstGeom prst="rect">
                          <a:avLst/>
                        </a:prstGeom>
                        <a:noFill/>
                      </pic:spPr>
                    </pic:pic>
                  </a:graphicData>
                </a:graphic>
              </wp:inline>
            </w:drawing>
          </w:r>
          <w:r w:rsidRPr="00F11851">
            <w:rPr>
              <w:rFonts w:ascii="Calibri" w:hAnsi="Calibri" w:cs="Playbill"/>
              <w:b/>
              <w:color w:val="808080"/>
              <w:sz w:val="36"/>
              <w:szCs w:val="26"/>
              <w:lang w:val="de-DE"/>
            </w:rPr>
            <w:t xml:space="preserve"> </w:t>
          </w:r>
          <w:r w:rsidRPr="00F11851">
            <w:rPr>
              <w:rFonts w:ascii="Calibri" w:hAnsi="Calibri" w:cs="Agfa Rotis Sans Serif"/>
              <w:bCs/>
              <w:color w:val="808080"/>
              <w:sz w:val="20"/>
              <w:szCs w:val="16"/>
              <w:lang w:val="de-DE"/>
            </w:rPr>
            <w:t>Belgium</w:t>
          </w:r>
        </w:p>
        <w:p w14:paraId="5590643B" w14:textId="77777777" w:rsidR="008504B1" w:rsidRPr="00F11851" w:rsidRDefault="008504B1" w:rsidP="008379A8">
          <w:pPr>
            <w:autoSpaceDE w:val="0"/>
            <w:autoSpaceDN w:val="0"/>
            <w:adjustRightInd w:val="0"/>
            <w:spacing w:line="180" w:lineRule="exact"/>
            <w:jc w:val="center"/>
            <w:rPr>
              <w:rFonts w:ascii="Calibri" w:hAnsi="Calibri" w:cs="Arial"/>
              <w:b/>
              <w:color w:val="808080"/>
              <w:sz w:val="20"/>
              <w:szCs w:val="24"/>
              <w:lang w:val="de-DE"/>
            </w:rPr>
          </w:pPr>
          <w:r w:rsidRPr="00F11851">
            <w:rPr>
              <w:rFonts w:ascii="Calibri" w:hAnsi="Calibri" w:cs="Agfa Rotis Sans Serif"/>
              <w:bCs/>
              <w:color w:val="808080"/>
              <w:sz w:val="20"/>
              <w:szCs w:val="16"/>
              <w:lang w:val="de-DE"/>
            </w:rPr>
            <w:t xml:space="preserve">Tel: + 32 (0)2 626 25 55 </w:t>
          </w:r>
          <w:r w:rsidRPr="00F11851">
            <w:rPr>
              <w:rFonts w:ascii="Calibri" w:hAnsi="Calibri" w:cs="Arial"/>
              <w:noProof/>
              <w:sz w:val="24"/>
              <w:szCs w:val="24"/>
              <w:lang w:eastAsia="zh-TW"/>
            </w:rPr>
            <w:drawing>
              <wp:inline distT="0" distB="0" distL="0" distR="0" wp14:anchorId="1289D402" wp14:editId="4C9719C8">
                <wp:extent cx="58998" cy="61912"/>
                <wp:effectExtent l="0" t="0" r="0" b="0"/>
                <wp:docPr id="48" name="Picture 2" descr="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png"/>
                        <pic:cNvPicPr/>
                      </pic:nvPicPr>
                      <pic:blipFill>
                        <a:blip r:embed="rId4" cstate="print"/>
                        <a:stretch>
                          <a:fillRect/>
                        </a:stretch>
                      </pic:blipFill>
                      <pic:spPr>
                        <a:xfrm>
                          <a:off x="0" y="0"/>
                          <a:ext cx="65827" cy="69078"/>
                        </a:xfrm>
                        <a:prstGeom prst="rect">
                          <a:avLst/>
                        </a:prstGeom>
                        <a:noFill/>
                      </pic:spPr>
                    </pic:pic>
                  </a:graphicData>
                </a:graphic>
              </wp:inline>
            </w:drawing>
          </w:r>
        </w:p>
        <w:p w14:paraId="1F620114" w14:textId="77777777" w:rsidR="008504B1" w:rsidRPr="00F11851" w:rsidRDefault="008504B1" w:rsidP="008379A8">
          <w:pPr>
            <w:spacing w:line="180" w:lineRule="exact"/>
            <w:jc w:val="center"/>
            <w:rPr>
              <w:rFonts w:ascii="Arial" w:eastAsia="Times New Roman" w:hAnsi="Arial" w:cs="Times New Roman"/>
              <w:color w:val="000000"/>
              <w:sz w:val="20"/>
              <w:szCs w:val="24"/>
              <w:lang w:val="de-DE"/>
            </w:rPr>
          </w:pPr>
          <w:r w:rsidRPr="00F11851">
            <w:rPr>
              <w:rFonts w:ascii="Calibri" w:eastAsia="Times New Roman" w:hAnsi="Calibri" w:cs="Agfa Rotis Sans Serif"/>
              <w:bCs/>
              <w:color w:val="31808B"/>
              <w:sz w:val="20"/>
              <w:szCs w:val="16"/>
              <w:lang w:val="de-DE"/>
            </w:rPr>
            <w:t xml:space="preserve">www.efpia.eu </w:t>
          </w:r>
          <w:r w:rsidRPr="00F11851">
            <w:rPr>
              <w:rFonts w:ascii="Calibri" w:eastAsia="Times New Roman" w:hAnsi="Calibri" w:cs="Times New Roman"/>
              <w:noProof/>
              <w:color w:val="000000"/>
              <w:sz w:val="24"/>
              <w:szCs w:val="24"/>
              <w:lang w:eastAsia="zh-TW"/>
            </w:rPr>
            <w:drawing>
              <wp:inline distT="0" distB="0" distL="0" distR="0" wp14:anchorId="5BC4EB51" wp14:editId="2C845E37">
                <wp:extent cx="58998" cy="61912"/>
                <wp:effectExtent l="0" t="0" r="0" b="0"/>
                <wp:docPr id="49" name="Picture 2" descr="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png"/>
                        <pic:cNvPicPr/>
                      </pic:nvPicPr>
                      <pic:blipFill>
                        <a:blip r:embed="rId4" cstate="print"/>
                        <a:stretch>
                          <a:fillRect/>
                        </a:stretch>
                      </pic:blipFill>
                      <pic:spPr>
                        <a:xfrm>
                          <a:off x="0" y="0"/>
                          <a:ext cx="65827" cy="69078"/>
                        </a:xfrm>
                        <a:prstGeom prst="rect">
                          <a:avLst/>
                        </a:prstGeom>
                        <a:noFill/>
                      </pic:spPr>
                    </pic:pic>
                  </a:graphicData>
                </a:graphic>
              </wp:inline>
            </w:drawing>
          </w:r>
          <w:r w:rsidRPr="00F11851">
            <w:rPr>
              <w:rFonts w:ascii="Calibri" w:eastAsia="Times New Roman" w:hAnsi="Calibri" w:cs="Playbill"/>
              <w:b/>
              <w:color w:val="31808B"/>
              <w:sz w:val="36"/>
              <w:szCs w:val="26"/>
              <w:lang w:val="de-DE"/>
            </w:rPr>
            <w:t xml:space="preserve"> </w:t>
          </w:r>
          <w:r w:rsidRPr="00F11851">
            <w:rPr>
              <w:rFonts w:ascii="Calibri" w:eastAsia="Times New Roman" w:hAnsi="Calibri" w:cs="Agfa Rotis Sans Serif"/>
              <w:bCs/>
              <w:color w:val="31808B"/>
              <w:sz w:val="20"/>
              <w:szCs w:val="16"/>
              <w:lang w:val="de-DE"/>
            </w:rPr>
            <w:t>info@efpia.eu</w:t>
          </w:r>
        </w:p>
      </w:tc>
      <w:tc>
        <w:tcPr>
          <w:tcW w:w="829" w:type="dxa"/>
        </w:tcPr>
        <w:p w14:paraId="0DD02759" w14:textId="77777777" w:rsidR="008504B1" w:rsidRPr="00F11851" w:rsidRDefault="008504B1" w:rsidP="008379A8">
          <w:pPr>
            <w:jc w:val="center"/>
            <w:rPr>
              <w:rFonts w:ascii="Arial" w:eastAsia="Times New Roman" w:hAnsi="Arial" w:cs="Times New Roman"/>
              <w:color w:val="000000"/>
              <w:sz w:val="20"/>
              <w:szCs w:val="24"/>
              <w:lang w:val="en-GB"/>
            </w:rPr>
          </w:pPr>
          <w:r w:rsidRPr="00F11851">
            <w:rPr>
              <w:rFonts w:ascii="Arial" w:eastAsia="Times New Roman" w:hAnsi="Arial" w:cs="Times New Roman"/>
              <w:noProof/>
              <w:color w:val="000000"/>
              <w:sz w:val="20"/>
              <w:szCs w:val="24"/>
              <w:lang w:eastAsia="zh-TW"/>
            </w:rPr>
            <w:drawing>
              <wp:inline distT="0" distB="0" distL="0" distR="0" wp14:anchorId="6D1F2B03" wp14:editId="5FC1F36C">
                <wp:extent cx="587375" cy="587375"/>
                <wp:effectExtent l="19050" t="0" r="3175" b="0"/>
                <wp:docPr id="50" name="Picture 17" descr="Bloc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5.png"/>
                        <pic:cNvPicPr/>
                      </pic:nvPicPr>
                      <pic:blipFill>
                        <a:blip r:embed="rId2"/>
                        <a:stretch>
                          <a:fillRect/>
                        </a:stretch>
                      </pic:blipFill>
                      <pic:spPr>
                        <a:xfrm>
                          <a:off x="0" y="0"/>
                          <a:ext cx="587375" cy="587375"/>
                        </a:xfrm>
                        <a:prstGeom prst="rect">
                          <a:avLst/>
                        </a:prstGeom>
                      </pic:spPr>
                    </pic:pic>
                  </a:graphicData>
                </a:graphic>
              </wp:inline>
            </w:drawing>
          </w:r>
        </w:p>
      </w:tc>
      <w:tc>
        <w:tcPr>
          <w:tcW w:w="829" w:type="dxa"/>
        </w:tcPr>
        <w:p w14:paraId="058234F6" w14:textId="77777777" w:rsidR="008504B1" w:rsidRPr="00F11851" w:rsidRDefault="008504B1" w:rsidP="008379A8">
          <w:pPr>
            <w:jc w:val="center"/>
            <w:rPr>
              <w:rFonts w:ascii="Arial" w:eastAsia="Times New Roman" w:hAnsi="Arial" w:cs="Times New Roman"/>
              <w:color w:val="000000"/>
              <w:sz w:val="20"/>
              <w:szCs w:val="24"/>
              <w:lang w:val="en-GB"/>
            </w:rPr>
          </w:pPr>
          <w:r w:rsidRPr="00F11851">
            <w:rPr>
              <w:rFonts w:ascii="Arial" w:eastAsia="Times New Roman" w:hAnsi="Arial" w:cs="Times New Roman"/>
              <w:noProof/>
              <w:color w:val="000000"/>
              <w:sz w:val="20"/>
              <w:szCs w:val="24"/>
              <w:lang w:eastAsia="zh-TW"/>
            </w:rPr>
            <w:drawing>
              <wp:inline distT="0" distB="0" distL="0" distR="0" wp14:anchorId="2EA44E47" wp14:editId="705BBDAD">
                <wp:extent cx="587375" cy="587375"/>
                <wp:effectExtent l="19050" t="0" r="3175" b="0"/>
                <wp:docPr id="51" name="Picture 18" descr="Blo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3.png"/>
                        <pic:cNvPicPr/>
                      </pic:nvPicPr>
                      <pic:blipFill>
                        <a:blip r:embed="rId5"/>
                        <a:stretch>
                          <a:fillRect/>
                        </a:stretch>
                      </pic:blipFill>
                      <pic:spPr>
                        <a:xfrm>
                          <a:off x="0" y="0"/>
                          <a:ext cx="587375" cy="587375"/>
                        </a:xfrm>
                        <a:prstGeom prst="rect">
                          <a:avLst/>
                        </a:prstGeom>
                      </pic:spPr>
                    </pic:pic>
                  </a:graphicData>
                </a:graphic>
              </wp:inline>
            </w:drawing>
          </w:r>
        </w:p>
      </w:tc>
      <w:tc>
        <w:tcPr>
          <w:tcW w:w="829" w:type="dxa"/>
        </w:tcPr>
        <w:p w14:paraId="6F367A9C" w14:textId="77777777" w:rsidR="008504B1" w:rsidRPr="00F11851" w:rsidRDefault="008504B1" w:rsidP="008379A8">
          <w:pPr>
            <w:jc w:val="center"/>
            <w:rPr>
              <w:rFonts w:ascii="Arial" w:eastAsia="Times New Roman" w:hAnsi="Arial" w:cs="Times New Roman"/>
              <w:color w:val="000000"/>
              <w:sz w:val="20"/>
              <w:szCs w:val="24"/>
              <w:lang w:val="en-GB"/>
            </w:rPr>
          </w:pPr>
          <w:r w:rsidRPr="00F11851">
            <w:rPr>
              <w:rFonts w:ascii="Arial" w:eastAsia="Times New Roman" w:hAnsi="Arial" w:cs="Times New Roman"/>
              <w:noProof/>
              <w:color w:val="000000"/>
              <w:sz w:val="20"/>
              <w:szCs w:val="24"/>
              <w:lang w:eastAsia="zh-TW"/>
            </w:rPr>
            <w:drawing>
              <wp:inline distT="0" distB="0" distL="0" distR="0" wp14:anchorId="0A88856B" wp14:editId="32731F2E">
                <wp:extent cx="520122" cy="577970"/>
                <wp:effectExtent l="0" t="0" r="0" b="0"/>
                <wp:docPr id="52" name="Picture 19" descr="Blo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6.png"/>
                        <pic:cNvPicPr/>
                      </pic:nvPicPr>
                      <pic:blipFill>
                        <a:blip r:embed="rId6"/>
                        <a:stretch>
                          <a:fillRect/>
                        </a:stretch>
                      </pic:blipFill>
                      <pic:spPr>
                        <a:xfrm>
                          <a:off x="0" y="0"/>
                          <a:ext cx="528586" cy="587375"/>
                        </a:xfrm>
                        <a:prstGeom prst="rect">
                          <a:avLst/>
                        </a:prstGeom>
                      </pic:spPr>
                    </pic:pic>
                  </a:graphicData>
                </a:graphic>
              </wp:inline>
            </w:drawing>
          </w:r>
        </w:p>
      </w:tc>
    </w:tr>
  </w:tbl>
  <w:p w14:paraId="6C2F9C1F" w14:textId="77777777" w:rsidR="008504B1" w:rsidRDefault="008504B1" w:rsidP="008504B1">
    <w:pPr>
      <w:pStyle w:val="Footer"/>
    </w:pPr>
  </w:p>
  <w:p w14:paraId="0873CC80" w14:textId="77777777" w:rsidR="004D4000" w:rsidRDefault="004D4000" w:rsidP="008504B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17DF5" w14:textId="77777777" w:rsidR="00DC62C0" w:rsidRDefault="00DC62C0" w:rsidP="008A3D64">
      <w:pPr>
        <w:spacing w:after="0" w:line="240" w:lineRule="auto"/>
      </w:pPr>
      <w:r>
        <w:separator/>
      </w:r>
    </w:p>
    <w:p w14:paraId="2769DCD9" w14:textId="77777777" w:rsidR="00DC62C0" w:rsidRDefault="00DC62C0"/>
  </w:footnote>
  <w:footnote w:type="continuationSeparator" w:id="0">
    <w:p w14:paraId="71341BC7" w14:textId="77777777" w:rsidR="00DC62C0" w:rsidRDefault="00DC62C0" w:rsidP="008A3D64">
      <w:pPr>
        <w:spacing w:after="0" w:line="240" w:lineRule="auto"/>
      </w:pPr>
      <w:r>
        <w:continuationSeparator/>
      </w:r>
    </w:p>
    <w:p w14:paraId="771A9E58" w14:textId="77777777" w:rsidR="00DC62C0" w:rsidRDefault="00DC62C0"/>
  </w:footnote>
  <w:footnote w:type="continuationNotice" w:id="1">
    <w:p w14:paraId="642E9D20" w14:textId="77777777" w:rsidR="00DC62C0" w:rsidRDefault="00DC62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6392999"/>
      <w:docPartObj>
        <w:docPartGallery w:val="Page Numbers (Top of Page)"/>
        <w:docPartUnique/>
      </w:docPartObj>
    </w:sdtPr>
    <w:sdtEndPr>
      <w:rPr>
        <w:noProof/>
      </w:rPr>
    </w:sdtEndPr>
    <w:sdtContent>
      <w:p w14:paraId="2FDC2067" w14:textId="378E7AEC" w:rsidR="008504B1" w:rsidRDefault="008504B1">
        <w:pPr>
          <w:pStyle w:val="Header"/>
          <w:jc w:val="center"/>
        </w:pPr>
        <w:r>
          <w:fldChar w:fldCharType="begin"/>
        </w:r>
        <w:r>
          <w:instrText xml:space="preserve"> PAGE   \* MERGEFORMAT </w:instrText>
        </w:r>
        <w:r>
          <w:fldChar w:fldCharType="separate"/>
        </w:r>
        <w:r w:rsidR="00AD51CD">
          <w:rPr>
            <w:noProof/>
          </w:rPr>
          <w:t>8</w:t>
        </w:r>
        <w:r>
          <w:rPr>
            <w:noProof/>
          </w:rPr>
          <w:fldChar w:fldCharType="end"/>
        </w:r>
      </w:p>
    </w:sdtContent>
  </w:sdt>
  <w:p w14:paraId="2AD3D2EE" w14:textId="77777777" w:rsidR="008504B1" w:rsidRDefault="008504B1">
    <w:pPr>
      <w:pStyle w:val="Header"/>
    </w:pPr>
  </w:p>
  <w:p w14:paraId="42099B98" w14:textId="77777777" w:rsidR="0069535F" w:rsidRDefault="006953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417D0"/>
    <w:multiLevelType w:val="hybridMultilevel"/>
    <w:tmpl w:val="7C94A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813FB"/>
    <w:multiLevelType w:val="hybridMultilevel"/>
    <w:tmpl w:val="1E96C10A"/>
    <w:lvl w:ilvl="0" w:tplc="CABAC550">
      <w:start w:val="4"/>
      <w:numFmt w:val="bullet"/>
      <w:lvlText w:val="-"/>
      <w:lvlJc w:val="left"/>
      <w:pPr>
        <w:ind w:left="720" w:hanging="360"/>
      </w:pPr>
      <w:rPr>
        <w:rFonts w:ascii="Calibri" w:eastAsiaTheme="minorHAnsi" w:hAnsi="Calibri" w:cstheme="minorBid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B0716"/>
    <w:multiLevelType w:val="hybridMultilevel"/>
    <w:tmpl w:val="26CE3078"/>
    <w:lvl w:ilvl="0" w:tplc="DABE582E">
      <w:start w:val="1"/>
      <w:numFmt w:val="bullet"/>
      <w:lvlText w:val="•"/>
      <w:lvlJc w:val="left"/>
      <w:pPr>
        <w:tabs>
          <w:tab w:val="num" w:pos="720"/>
        </w:tabs>
        <w:ind w:left="720" w:hanging="360"/>
      </w:pPr>
      <w:rPr>
        <w:rFonts w:ascii="Arial" w:hAnsi="Arial" w:hint="default"/>
      </w:rPr>
    </w:lvl>
    <w:lvl w:ilvl="1" w:tplc="79C01F40" w:tentative="1">
      <w:start w:val="1"/>
      <w:numFmt w:val="bullet"/>
      <w:lvlText w:val="•"/>
      <w:lvlJc w:val="left"/>
      <w:pPr>
        <w:tabs>
          <w:tab w:val="num" w:pos="1440"/>
        </w:tabs>
        <w:ind w:left="1440" w:hanging="360"/>
      </w:pPr>
      <w:rPr>
        <w:rFonts w:ascii="Arial" w:hAnsi="Arial" w:hint="default"/>
      </w:rPr>
    </w:lvl>
    <w:lvl w:ilvl="2" w:tplc="651A1138" w:tentative="1">
      <w:start w:val="1"/>
      <w:numFmt w:val="bullet"/>
      <w:lvlText w:val="•"/>
      <w:lvlJc w:val="left"/>
      <w:pPr>
        <w:tabs>
          <w:tab w:val="num" w:pos="2160"/>
        </w:tabs>
        <w:ind w:left="2160" w:hanging="360"/>
      </w:pPr>
      <w:rPr>
        <w:rFonts w:ascii="Arial" w:hAnsi="Arial" w:hint="default"/>
      </w:rPr>
    </w:lvl>
    <w:lvl w:ilvl="3" w:tplc="EB90707E" w:tentative="1">
      <w:start w:val="1"/>
      <w:numFmt w:val="bullet"/>
      <w:lvlText w:val="•"/>
      <w:lvlJc w:val="left"/>
      <w:pPr>
        <w:tabs>
          <w:tab w:val="num" w:pos="2880"/>
        </w:tabs>
        <w:ind w:left="2880" w:hanging="360"/>
      </w:pPr>
      <w:rPr>
        <w:rFonts w:ascii="Arial" w:hAnsi="Arial" w:hint="default"/>
      </w:rPr>
    </w:lvl>
    <w:lvl w:ilvl="4" w:tplc="ED461C66" w:tentative="1">
      <w:start w:val="1"/>
      <w:numFmt w:val="bullet"/>
      <w:lvlText w:val="•"/>
      <w:lvlJc w:val="left"/>
      <w:pPr>
        <w:tabs>
          <w:tab w:val="num" w:pos="3600"/>
        </w:tabs>
        <w:ind w:left="3600" w:hanging="360"/>
      </w:pPr>
      <w:rPr>
        <w:rFonts w:ascii="Arial" w:hAnsi="Arial" w:hint="default"/>
      </w:rPr>
    </w:lvl>
    <w:lvl w:ilvl="5" w:tplc="F612A2E2" w:tentative="1">
      <w:start w:val="1"/>
      <w:numFmt w:val="bullet"/>
      <w:lvlText w:val="•"/>
      <w:lvlJc w:val="left"/>
      <w:pPr>
        <w:tabs>
          <w:tab w:val="num" w:pos="4320"/>
        </w:tabs>
        <w:ind w:left="4320" w:hanging="360"/>
      </w:pPr>
      <w:rPr>
        <w:rFonts w:ascii="Arial" w:hAnsi="Arial" w:hint="default"/>
      </w:rPr>
    </w:lvl>
    <w:lvl w:ilvl="6" w:tplc="4BB24C92" w:tentative="1">
      <w:start w:val="1"/>
      <w:numFmt w:val="bullet"/>
      <w:lvlText w:val="•"/>
      <w:lvlJc w:val="left"/>
      <w:pPr>
        <w:tabs>
          <w:tab w:val="num" w:pos="5040"/>
        </w:tabs>
        <w:ind w:left="5040" w:hanging="360"/>
      </w:pPr>
      <w:rPr>
        <w:rFonts w:ascii="Arial" w:hAnsi="Arial" w:hint="default"/>
      </w:rPr>
    </w:lvl>
    <w:lvl w:ilvl="7" w:tplc="E612DF42" w:tentative="1">
      <w:start w:val="1"/>
      <w:numFmt w:val="bullet"/>
      <w:lvlText w:val="•"/>
      <w:lvlJc w:val="left"/>
      <w:pPr>
        <w:tabs>
          <w:tab w:val="num" w:pos="5760"/>
        </w:tabs>
        <w:ind w:left="5760" w:hanging="360"/>
      </w:pPr>
      <w:rPr>
        <w:rFonts w:ascii="Arial" w:hAnsi="Arial" w:hint="default"/>
      </w:rPr>
    </w:lvl>
    <w:lvl w:ilvl="8" w:tplc="7CA8BE7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736D83"/>
    <w:multiLevelType w:val="hybridMultilevel"/>
    <w:tmpl w:val="0BA056A2"/>
    <w:lvl w:ilvl="0" w:tplc="1B0860C0">
      <w:start w:val="1"/>
      <w:numFmt w:val="bullet"/>
      <w:lvlText w:val=""/>
      <w:lvlJc w:val="left"/>
      <w:pPr>
        <w:tabs>
          <w:tab w:val="num" w:pos="720"/>
        </w:tabs>
        <w:ind w:left="720" w:hanging="360"/>
      </w:pPr>
      <w:rPr>
        <w:rFonts w:ascii="Wingdings 2" w:hAnsi="Wingdings 2" w:hint="default"/>
      </w:rPr>
    </w:lvl>
    <w:lvl w:ilvl="1" w:tplc="2AF0970A" w:tentative="1">
      <w:start w:val="1"/>
      <w:numFmt w:val="bullet"/>
      <w:lvlText w:val=""/>
      <w:lvlJc w:val="left"/>
      <w:pPr>
        <w:tabs>
          <w:tab w:val="num" w:pos="1440"/>
        </w:tabs>
        <w:ind w:left="1440" w:hanging="360"/>
      </w:pPr>
      <w:rPr>
        <w:rFonts w:ascii="Wingdings 2" w:hAnsi="Wingdings 2" w:hint="default"/>
      </w:rPr>
    </w:lvl>
    <w:lvl w:ilvl="2" w:tplc="D166F5C6">
      <w:start w:val="2904"/>
      <w:numFmt w:val="bullet"/>
      <w:lvlText w:val=""/>
      <w:lvlJc w:val="left"/>
      <w:pPr>
        <w:tabs>
          <w:tab w:val="num" w:pos="2160"/>
        </w:tabs>
        <w:ind w:left="2160" w:hanging="360"/>
      </w:pPr>
      <w:rPr>
        <w:rFonts w:ascii="Wingdings 2" w:hAnsi="Wingdings 2" w:hint="default"/>
      </w:rPr>
    </w:lvl>
    <w:lvl w:ilvl="3" w:tplc="5C268BF6" w:tentative="1">
      <w:start w:val="1"/>
      <w:numFmt w:val="bullet"/>
      <w:lvlText w:val=""/>
      <w:lvlJc w:val="left"/>
      <w:pPr>
        <w:tabs>
          <w:tab w:val="num" w:pos="2880"/>
        </w:tabs>
        <w:ind w:left="2880" w:hanging="360"/>
      </w:pPr>
      <w:rPr>
        <w:rFonts w:ascii="Wingdings 2" w:hAnsi="Wingdings 2" w:hint="default"/>
      </w:rPr>
    </w:lvl>
    <w:lvl w:ilvl="4" w:tplc="E87EDF50" w:tentative="1">
      <w:start w:val="1"/>
      <w:numFmt w:val="bullet"/>
      <w:lvlText w:val=""/>
      <w:lvlJc w:val="left"/>
      <w:pPr>
        <w:tabs>
          <w:tab w:val="num" w:pos="3600"/>
        </w:tabs>
        <w:ind w:left="3600" w:hanging="360"/>
      </w:pPr>
      <w:rPr>
        <w:rFonts w:ascii="Wingdings 2" w:hAnsi="Wingdings 2" w:hint="default"/>
      </w:rPr>
    </w:lvl>
    <w:lvl w:ilvl="5" w:tplc="A45E4F5E" w:tentative="1">
      <w:start w:val="1"/>
      <w:numFmt w:val="bullet"/>
      <w:lvlText w:val=""/>
      <w:lvlJc w:val="left"/>
      <w:pPr>
        <w:tabs>
          <w:tab w:val="num" w:pos="4320"/>
        </w:tabs>
        <w:ind w:left="4320" w:hanging="360"/>
      </w:pPr>
      <w:rPr>
        <w:rFonts w:ascii="Wingdings 2" w:hAnsi="Wingdings 2" w:hint="default"/>
      </w:rPr>
    </w:lvl>
    <w:lvl w:ilvl="6" w:tplc="239451A8" w:tentative="1">
      <w:start w:val="1"/>
      <w:numFmt w:val="bullet"/>
      <w:lvlText w:val=""/>
      <w:lvlJc w:val="left"/>
      <w:pPr>
        <w:tabs>
          <w:tab w:val="num" w:pos="5040"/>
        </w:tabs>
        <w:ind w:left="5040" w:hanging="360"/>
      </w:pPr>
      <w:rPr>
        <w:rFonts w:ascii="Wingdings 2" w:hAnsi="Wingdings 2" w:hint="default"/>
      </w:rPr>
    </w:lvl>
    <w:lvl w:ilvl="7" w:tplc="136C5B38" w:tentative="1">
      <w:start w:val="1"/>
      <w:numFmt w:val="bullet"/>
      <w:lvlText w:val=""/>
      <w:lvlJc w:val="left"/>
      <w:pPr>
        <w:tabs>
          <w:tab w:val="num" w:pos="5760"/>
        </w:tabs>
        <w:ind w:left="5760" w:hanging="360"/>
      </w:pPr>
      <w:rPr>
        <w:rFonts w:ascii="Wingdings 2" w:hAnsi="Wingdings 2" w:hint="default"/>
      </w:rPr>
    </w:lvl>
    <w:lvl w:ilvl="8" w:tplc="C88AE3DC"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144F5036"/>
    <w:multiLevelType w:val="hybridMultilevel"/>
    <w:tmpl w:val="748EE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68564D"/>
    <w:multiLevelType w:val="hybridMultilevel"/>
    <w:tmpl w:val="329C0D7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09823F7"/>
    <w:multiLevelType w:val="hybridMultilevel"/>
    <w:tmpl w:val="05026A16"/>
    <w:lvl w:ilvl="0" w:tplc="25FC86A2">
      <w:start w:val="1"/>
      <w:numFmt w:val="bullet"/>
      <w:lvlText w:val="•"/>
      <w:lvlJc w:val="left"/>
      <w:pPr>
        <w:tabs>
          <w:tab w:val="num" w:pos="720"/>
        </w:tabs>
        <w:ind w:left="720" w:hanging="360"/>
      </w:pPr>
      <w:rPr>
        <w:rFonts w:ascii="Times New Roman" w:hAnsi="Times New Roman" w:hint="default"/>
      </w:rPr>
    </w:lvl>
    <w:lvl w:ilvl="1" w:tplc="61127C58" w:tentative="1">
      <w:start w:val="1"/>
      <w:numFmt w:val="bullet"/>
      <w:lvlText w:val="•"/>
      <w:lvlJc w:val="left"/>
      <w:pPr>
        <w:tabs>
          <w:tab w:val="num" w:pos="1440"/>
        </w:tabs>
        <w:ind w:left="1440" w:hanging="360"/>
      </w:pPr>
      <w:rPr>
        <w:rFonts w:ascii="Times New Roman" w:hAnsi="Times New Roman" w:hint="default"/>
      </w:rPr>
    </w:lvl>
    <w:lvl w:ilvl="2" w:tplc="9DA0AF22" w:tentative="1">
      <w:start w:val="1"/>
      <w:numFmt w:val="bullet"/>
      <w:lvlText w:val="•"/>
      <w:lvlJc w:val="left"/>
      <w:pPr>
        <w:tabs>
          <w:tab w:val="num" w:pos="2160"/>
        </w:tabs>
        <w:ind w:left="2160" w:hanging="360"/>
      </w:pPr>
      <w:rPr>
        <w:rFonts w:ascii="Times New Roman" w:hAnsi="Times New Roman" w:hint="default"/>
      </w:rPr>
    </w:lvl>
    <w:lvl w:ilvl="3" w:tplc="3A900D48" w:tentative="1">
      <w:start w:val="1"/>
      <w:numFmt w:val="bullet"/>
      <w:lvlText w:val="•"/>
      <w:lvlJc w:val="left"/>
      <w:pPr>
        <w:tabs>
          <w:tab w:val="num" w:pos="2880"/>
        </w:tabs>
        <w:ind w:left="2880" w:hanging="360"/>
      </w:pPr>
      <w:rPr>
        <w:rFonts w:ascii="Times New Roman" w:hAnsi="Times New Roman" w:hint="default"/>
      </w:rPr>
    </w:lvl>
    <w:lvl w:ilvl="4" w:tplc="C784CACE" w:tentative="1">
      <w:start w:val="1"/>
      <w:numFmt w:val="bullet"/>
      <w:lvlText w:val="•"/>
      <w:lvlJc w:val="left"/>
      <w:pPr>
        <w:tabs>
          <w:tab w:val="num" w:pos="3600"/>
        </w:tabs>
        <w:ind w:left="3600" w:hanging="360"/>
      </w:pPr>
      <w:rPr>
        <w:rFonts w:ascii="Times New Roman" w:hAnsi="Times New Roman" w:hint="default"/>
      </w:rPr>
    </w:lvl>
    <w:lvl w:ilvl="5" w:tplc="BA42FA2E" w:tentative="1">
      <w:start w:val="1"/>
      <w:numFmt w:val="bullet"/>
      <w:lvlText w:val="•"/>
      <w:lvlJc w:val="left"/>
      <w:pPr>
        <w:tabs>
          <w:tab w:val="num" w:pos="4320"/>
        </w:tabs>
        <w:ind w:left="4320" w:hanging="360"/>
      </w:pPr>
      <w:rPr>
        <w:rFonts w:ascii="Times New Roman" w:hAnsi="Times New Roman" w:hint="default"/>
      </w:rPr>
    </w:lvl>
    <w:lvl w:ilvl="6" w:tplc="7924C468" w:tentative="1">
      <w:start w:val="1"/>
      <w:numFmt w:val="bullet"/>
      <w:lvlText w:val="•"/>
      <w:lvlJc w:val="left"/>
      <w:pPr>
        <w:tabs>
          <w:tab w:val="num" w:pos="5040"/>
        </w:tabs>
        <w:ind w:left="5040" w:hanging="360"/>
      </w:pPr>
      <w:rPr>
        <w:rFonts w:ascii="Times New Roman" w:hAnsi="Times New Roman" w:hint="default"/>
      </w:rPr>
    </w:lvl>
    <w:lvl w:ilvl="7" w:tplc="8508FA5C" w:tentative="1">
      <w:start w:val="1"/>
      <w:numFmt w:val="bullet"/>
      <w:lvlText w:val="•"/>
      <w:lvlJc w:val="left"/>
      <w:pPr>
        <w:tabs>
          <w:tab w:val="num" w:pos="5760"/>
        </w:tabs>
        <w:ind w:left="5760" w:hanging="360"/>
      </w:pPr>
      <w:rPr>
        <w:rFonts w:ascii="Times New Roman" w:hAnsi="Times New Roman" w:hint="default"/>
      </w:rPr>
    </w:lvl>
    <w:lvl w:ilvl="8" w:tplc="29E6D3F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36466F2"/>
    <w:multiLevelType w:val="hybridMultilevel"/>
    <w:tmpl w:val="50F2D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941089"/>
    <w:multiLevelType w:val="hybridMultilevel"/>
    <w:tmpl w:val="22346CDA"/>
    <w:lvl w:ilvl="0" w:tplc="8A427868">
      <w:start w:val="1"/>
      <w:numFmt w:val="bullet"/>
      <w:lvlText w:val="•"/>
      <w:lvlJc w:val="left"/>
      <w:pPr>
        <w:tabs>
          <w:tab w:val="num" w:pos="720"/>
        </w:tabs>
        <w:ind w:left="720" w:hanging="360"/>
      </w:pPr>
      <w:rPr>
        <w:rFonts w:ascii="Arial" w:hAnsi="Arial" w:hint="default"/>
      </w:rPr>
    </w:lvl>
    <w:lvl w:ilvl="1" w:tplc="9796F062">
      <w:start w:val="1"/>
      <w:numFmt w:val="bullet"/>
      <w:lvlText w:val="•"/>
      <w:lvlJc w:val="left"/>
      <w:pPr>
        <w:tabs>
          <w:tab w:val="num" w:pos="1440"/>
        </w:tabs>
        <w:ind w:left="1440" w:hanging="360"/>
      </w:pPr>
      <w:rPr>
        <w:rFonts w:ascii="Arial" w:hAnsi="Arial" w:hint="default"/>
      </w:rPr>
    </w:lvl>
    <w:lvl w:ilvl="2" w:tplc="7C008E82" w:tentative="1">
      <w:start w:val="1"/>
      <w:numFmt w:val="bullet"/>
      <w:lvlText w:val="•"/>
      <w:lvlJc w:val="left"/>
      <w:pPr>
        <w:tabs>
          <w:tab w:val="num" w:pos="2160"/>
        </w:tabs>
        <w:ind w:left="2160" w:hanging="360"/>
      </w:pPr>
      <w:rPr>
        <w:rFonts w:ascii="Arial" w:hAnsi="Arial" w:hint="default"/>
      </w:rPr>
    </w:lvl>
    <w:lvl w:ilvl="3" w:tplc="9AAAEEDE" w:tentative="1">
      <w:start w:val="1"/>
      <w:numFmt w:val="bullet"/>
      <w:lvlText w:val="•"/>
      <w:lvlJc w:val="left"/>
      <w:pPr>
        <w:tabs>
          <w:tab w:val="num" w:pos="2880"/>
        </w:tabs>
        <w:ind w:left="2880" w:hanging="360"/>
      </w:pPr>
      <w:rPr>
        <w:rFonts w:ascii="Arial" w:hAnsi="Arial" w:hint="default"/>
      </w:rPr>
    </w:lvl>
    <w:lvl w:ilvl="4" w:tplc="7BDE5796" w:tentative="1">
      <w:start w:val="1"/>
      <w:numFmt w:val="bullet"/>
      <w:lvlText w:val="•"/>
      <w:lvlJc w:val="left"/>
      <w:pPr>
        <w:tabs>
          <w:tab w:val="num" w:pos="3600"/>
        </w:tabs>
        <w:ind w:left="3600" w:hanging="360"/>
      </w:pPr>
      <w:rPr>
        <w:rFonts w:ascii="Arial" w:hAnsi="Arial" w:hint="default"/>
      </w:rPr>
    </w:lvl>
    <w:lvl w:ilvl="5" w:tplc="7E144CE2" w:tentative="1">
      <w:start w:val="1"/>
      <w:numFmt w:val="bullet"/>
      <w:lvlText w:val="•"/>
      <w:lvlJc w:val="left"/>
      <w:pPr>
        <w:tabs>
          <w:tab w:val="num" w:pos="4320"/>
        </w:tabs>
        <w:ind w:left="4320" w:hanging="360"/>
      </w:pPr>
      <w:rPr>
        <w:rFonts w:ascii="Arial" w:hAnsi="Arial" w:hint="default"/>
      </w:rPr>
    </w:lvl>
    <w:lvl w:ilvl="6" w:tplc="FEA0EE2A" w:tentative="1">
      <w:start w:val="1"/>
      <w:numFmt w:val="bullet"/>
      <w:lvlText w:val="•"/>
      <w:lvlJc w:val="left"/>
      <w:pPr>
        <w:tabs>
          <w:tab w:val="num" w:pos="5040"/>
        </w:tabs>
        <w:ind w:left="5040" w:hanging="360"/>
      </w:pPr>
      <w:rPr>
        <w:rFonts w:ascii="Arial" w:hAnsi="Arial" w:hint="default"/>
      </w:rPr>
    </w:lvl>
    <w:lvl w:ilvl="7" w:tplc="7D84963E" w:tentative="1">
      <w:start w:val="1"/>
      <w:numFmt w:val="bullet"/>
      <w:lvlText w:val="•"/>
      <w:lvlJc w:val="left"/>
      <w:pPr>
        <w:tabs>
          <w:tab w:val="num" w:pos="5760"/>
        </w:tabs>
        <w:ind w:left="5760" w:hanging="360"/>
      </w:pPr>
      <w:rPr>
        <w:rFonts w:ascii="Arial" w:hAnsi="Arial" w:hint="default"/>
      </w:rPr>
    </w:lvl>
    <w:lvl w:ilvl="8" w:tplc="38EE752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C4C2D96"/>
    <w:multiLevelType w:val="hybridMultilevel"/>
    <w:tmpl w:val="5CACA214"/>
    <w:lvl w:ilvl="0" w:tplc="404651C4">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66E5F6C"/>
    <w:multiLevelType w:val="hybridMultilevel"/>
    <w:tmpl w:val="EE32B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7A4F2E"/>
    <w:multiLevelType w:val="hybridMultilevel"/>
    <w:tmpl w:val="AFD40492"/>
    <w:lvl w:ilvl="0" w:tplc="9ED4D47C">
      <w:start w:val="1"/>
      <w:numFmt w:val="bullet"/>
      <w:lvlText w:val="•"/>
      <w:lvlJc w:val="left"/>
      <w:pPr>
        <w:tabs>
          <w:tab w:val="num" w:pos="720"/>
        </w:tabs>
        <w:ind w:left="720" w:hanging="360"/>
      </w:pPr>
      <w:rPr>
        <w:rFonts w:ascii="Arial" w:hAnsi="Arial" w:hint="default"/>
      </w:rPr>
    </w:lvl>
    <w:lvl w:ilvl="1" w:tplc="42F0702C">
      <w:start w:val="1"/>
      <w:numFmt w:val="bullet"/>
      <w:lvlText w:val="•"/>
      <w:lvlJc w:val="left"/>
      <w:pPr>
        <w:tabs>
          <w:tab w:val="num" w:pos="1440"/>
        </w:tabs>
        <w:ind w:left="1440" w:hanging="360"/>
      </w:pPr>
      <w:rPr>
        <w:rFonts w:ascii="Arial" w:hAnsi="Arial" w:hint="default"/>
      </w:rPr>
    </w:lvl>
    <w:lvl w:ilvl="2" w:tplc="E75065EC">
      <w:start w:val="1"/>
      <w:numFmt w:val="bullet"/>
      <w:lvlText w:val="•"/>
      <w:lvlJc w:val="left"/>
      <w:pPr>
        <w:tabs>
          <w:tab w:val="num" w:pos="2160"/>
        </w:tabs>
        <w:ind w:left="2160" w:hanging="360"/>
      </w:pPr>
      <w:rPr>
        <w:rFonts w:ascii="Arial" w:hAnsi="Arial" w:hint="default"/>
      </w:rPr>
    </w:lvl>
    <w:lvl w:ilvl="3" w:tplc="79F8C0A8" w:tentative="1">
      <w:start w:val="1"/>
      <w:numFmt w:val="bullet"/>
      <w:lvlText w:val="•"/>
      <w:lvlJc w:val="left"/>
      <w:pPr>
        <w:tabs>
          <w:tab w:val="num" w:pos="2880"/>
        </w:tabs>
        <w:ind w:left="2880" w:hanging="360"/>
      </w:pPr>
      <w:rPr>
        <w:rFonts w:ascii="Arial" w:hAnsi="Arial" w:hint="default"/>
      </w:rPr>
    </w:lvl>
    <w:lvl w:ilvl="4" w:tplc="92765BBC" w:tentative="1">
      <w:start w:val="1"/>
      <w:numFmt w:val="bullet"/>
      <w:lvlText w:val="•"/>
      <w:lvlJc w:val="left"/>
      <w:pPr>
        <w:tabs>
          <w:tab w:val="num" w:pos="3600"/>
        </w:tabs>
        <w:ind w:left="3600" w:hanging="360"/>
      </w:pPr>
      <w:rPr>
        <w:rFonts w:ascii="Arial" w:hAnsi="Arial" w:hint="default"/>
      </w:rPr>
    </w:lvl>
    <w:lvl w:ilvl="5" w:tplc="CFF8F732" w:tentative="1">
      <w:start w:val="1"/>
      <w:numFmt w:val="bullet"/>
      <w:lvlText w:val="•"/>
      <w:lvlJc w:val="left"/>
      <w:pPr>
        <w:tabs>
          <w:tab w:val="num" w:pos="4320"/>
        </w:tabs>
        <w:ind w:left="4320" w:hanging="360"/>
      </w:pPr>
      <w:rPr>
        <w:rFonts w:ascii="Arial" w:hAnsi="Arial" w:hint="default"/>
      </w:rPr>
    </w:lvl>
    <w:lvl w:ilvl="6" w:tplc="DDBABF8C" w:tentative="1">
      <w:start w:val="1"/>
      <w:numFmt w:val="bullet"/>
      <w:lvlText w:val="•"/>
      <w:lvlJc w:val="left"/>
      <w:pPr>
        <w:tabs>
          <w:tab w:val="num" w:pos="5040"/>
        </w:tabs>
        <w:ind w:left="5040" w:hanging="360"/>
      </w:pPr>
      <w:rPr>
        <w:rFonts w:ascii="Arial" w:hAnsi="Arial" w:hint="default"/>
      </w:rPr>
    </w:lvl>
    <w:lvl w:ilvl="7" w:tplc="0DA28548" w:tentative="1">
      <w:start w:val="1"/>
      <w:numFmt w:val="bullet"/>
      <w:lvlText w:val="•"/>
      <w:lvlJc w:val="left"/>
      <w:pPr>
        <w:tabs>
          <w:tab w:val="num" w:pos="5760"/>
        </w:tabs>
        <w:ind w:left="5760" w:hanging="360"/>
      </w:pPr>
      <w:rPr>
        <w:rFonts w:ascii="Arial" w:hAnsi="Arial" w:hint="default"/>
      </w:rPr>
    </w:lvl>
    <w:lvl w:ilvl="8" w:tplc="AB9058A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F0F690F"/>
    <w:multiLevelType w:val="hybridMultilevel"/>
    <w:tmpl w:val="7B0C113E"/>
    <w:lvl w:ilvl="0" w:tplc="E5964D18">
      <w:start w:val="1"/>
      <w:numFmt w:val="bullet"/>
      <w:lvlText w:val=""/>
      <w:lvlJc w:val="left"/>
      <w:pPr>
        <w:tabs>
          <w:tab w:val="num" w:pos="720"/>
        </w:tabs>
        <w:ind w:left="720" w:hanging="360"/>
      </w:pPr>
      <w:rPr>
        <w:rFonts w:ascii="Wingdings 2" w:hAnsi="Wingdings 2" w:hint="default"/>
      </w:rPr>
    </w:lvl>
    <w:lvl w:ilvl="1" w:tplc="28E06172" w:tentative="1">
      <w:start w:val="1"/>
      <w:numFmt w:val="bullet"/>
      <w:lvlText w:val=""/>
      <w:lvlJc w:val="left"/>
      <w:pPr>
        <w:tabs>
          <w:tab w:val="num" w:pos="1440"/>
        </w:tabs>
        <w:ind w:left="1440" w:hanging="360"/>
      </w:pPr>
      <w:rPr>
        <w:rFonts w:ascii="Wingdings 2" w:hAnsi="Wingdings 2" w:hint="default"/>
      </w:rPr>
    </w:lvl>
    <w:lvl w:ilvl="2" w:tplc="E22C55EC">
      <w:start w:val="1"/>
      <w:numFmt w:val="bullet"/>
      <w:lvlText w:val=""/>
      <w:lvlJc w:val="left"/>
      <w:pPr>
        <w:tabs>
          <w:tab w:val="num" w:pos="2160"/>
        </w:tabs>
        <w:ind w:left="2160" w:hanging="360"/>
      </w:pPr>
      <w:rPr>
        <w:rFonts w:ascii="Wingdings 2" w:hAnsi="Wingdings 2" w:hint="default"/>
      </w:rPr>
    </w:lvl>
    <w:lvl w:ilvl="3" w:tplc="9134DA9A" w:tentative="1">
      <w:start w:val="1"/>
      <w:numFmt w:val="bullet"/>
      <w:lvlText w:val=""/>
      <w:lvlJc w:val="left"/>
      <w:pPr>
        <w:tabs>
          <w:tab w:val="num" w:pos="2880"/>
        </w:tabs>
        <w:ind w:left="2880" w:hanging="360"/>
      </w:pPr>
      <w:rPr>
        <w:rFonts w:ascii="Wingdings 2" w:hAnsi="Wingdings 2" w:hint="default"/>
      </w:rPr>
    </w:lvl>
    <w:lvl w:ilvl="4" w:tplc="CA500B9C" w:tentative="1">
      <w:start w:val="1"/>
      <w:numFmt w:val="bullet"/>
      <w:lvlText w:val=""/>
      <w:lvlJc w:val="left"/>
      <w:pPr>
        <w:tabs>
          <w:tab w:val="num" w:pos="3600"/>
        </w:tabs>
        <w:ind w:left="3600" w:hanging="360"/>
      </w:pPr>
      <w:rPr>
        <w:rFonts w:ascii="Wingdings 2" w:hAnsi="Wingdings 2" w:hint="default"/>
      </w:rPr>
    </w:lvl>
    <w:lvl w:ilvl="5" w:tplc="A364C8AA" w:tentative="1">
      <w:start w:val="1"/>
      <w:numFmt w:val="bullet"/>
      <w:lvlText w:val=""/>
      <w:lvlJc w:val="left"/>
      <w:pPr>
        <w:tabs>
          <w:tab w:val="num" w:pos="4320"/>
        </w:tabs>
        <w:ind w:left="4320" w:hanging="360"/>
      </w:pPr>
      <w:rPr>
        <w:rFonts w:ascii="Wingdings 2" w:hAnsi="Wingdings 2" w:hint="default"/>
      </w:rPr>
    </w:lvl>
    <w:lvl w:ilvl="6" w:tplc="C5FC111A" w:tentative="1">
      <w:start w:val="1"/>
      <w:numFmt w:val="bullet"/>
      <w:lvlText w:val=""/>
      <w:lvlJc w:val="left"/>
      <w:pPr>
        <w:tabs>
          <w:tab w:val="num" w:pos="5040"/>
        </w:tabs>
        <w:ind w:left="5040" w:hanging="360"/>
      </w:pPr>
      <w:rPr>
        <w:rFonts w:ascii="Wingdings 2" w:hAnsi="Wingdings 2" w:hint="default"/>
      </w:rPr>
    </w:lvl>
    <w:lvl w:ilvl="7" w:tplc="4EF09D58" w:tentative="1">
      <w:start w:val="1"/>
      <w:numFmt w:val="bullet"/>
      <w:lvlText w:val=""/>
      <w:lvlJc w:val="left"/>
      <w:pPr>
        <w:tabs>
          <w:tab w:val="num" w:pos="5760"/>
        </w:tabs>
        <w:ind w:left="5760" w:hanging="360"/>
      </w:pPr>
      <w:rPr>
        <w:rFonts w:ascii="Wingdings 2" w:hAnsi="Wingdings 2" w:hint="default"/>
      </w:rPr>
    </w:lvl>
    <w:lvl w:ilvl="8" w:tplc="BEA8E606"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414C5023"/>
    <w:multiLevelType w:val="hybridMultilevel"/>
    <w:tmpl w:val="14C4ED28"/>
    <w:lvl w:ilvl="0" w:tplc="75E41918">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55920C6"/>
    <w:multiLevelType w:val="hybridMultilevel"/>
    <w:tmpl w:val="2C029248"/>
    <w:lvl w:ilvl="0" w:tplc="E446EE7C">
      <w:start w:val="1"/>
      <w:numFmt w:val="decimal"/>
      <w:pStyle w:val="Heading2"/>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0B66B9"/>
    <w:multiLevelType w:val="hybridMultilevel"/>
    <w:tmpl w:val="05284F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26A6549"/>
    <w:multiLevelType w:val="hybridMultilevel"/>
    <w:tmpl w:val="EF4030B0"/>
    <w:lvl w:ilvl="0" w:tplc="5DC81498">
      <w:start w:val="1"/>
      <w:numFmt w:val="decimal"/>
      <w:lvlText w:val="%1."/>
      <w:lvlJc w:val="left"/>
      <w:pPr>
        <w:tabs>
          <w:tab w:val="num" w:pos="720"/>
        </w:tabs>
        <w:ind w:left="720" w:hanging="360"/>
      </w:pPr>
    </w:lvl>
    <w:lvl w:ilvl="1" w:tplc="5928DA66" w:tentative="1">
      <w:start w:val="1"/>
      <w:numFmt w:val="decimal"/>
      <w:lvlText w:val="%2."/>
      <w:lvlJc w:val="left"/>
      <w:pPr>
        <w:tabs>
          <w:tab w:val="num" w:pos="1440"/>
        </w:tabs>
        <w:ind w:left="1440" w:hanging="360"/>
      </w:pPr>
    </w:lvl>
    <w:lvl w:ilvl="2" w:tplc="26DAFC0E" w:tentative="1">
      <w:start w:val="1"/>
      <w:numFmt w:val="decimal"/>
      <w:lvlText w:val="%3."/>
      <w:lvlJc w:val="left"/>
      <w:pPr>
        <w:tabs>
          <w:tab w:val="num" w:pos="2160"/>
        </w:tabs>
        <w:ind w:left="2160" w:hanging="360"/>
      </w:pPr>
    </w:lvl>
    <w:lvl w:ilvl="3" w:tplc="3C62D9C6" w:tentative="1">
      <w:start w:val="1"/>
      <w:numFmt w:val="decimal"/>
      <w:lvlText w:val="%4."/>
      <w:lvlJc w:val="left"/>
      <w:pPr>
        <w:tabs>
          <w:tab w:val="num" w:pos="2880"/>
        </w:tabs>
        <w:ind w:left="2880" w:hanging="360"/>
      </w:pPr>
    </w:lvl>
    <w:lvl w:ilvl="4" w:tplc="154A1CF8" w:tentative="1">
      <w:start w:val="1"/>
      <w:numFmt w:val="decimal"/>
      <w:lvlText w:val="%5."/>
      <w:lvlJc w:val="left"/>
      <w:pPr>
        <w:tabs>
          <w:tab w:val="num" w:pos="3600"/>
        </w:tabs>
        <w:ind w:left="3600" w:hanging="360"/>
      </w:pPr>
    </w:lvl>
    <w:lvl w:ilvl="5" w:tplc="C95C7F58" w:tentative="1">
      <w:start w:val="1"/>
      <w:numFmt w:val="decimal"/>
      <w:lvlText w:val="%6."/>
      <w:lvlJc w:val="left"/>
      <w:pPr>
        <w:tabs>
          <w:tab w:val="num" w:pos="4320"/>
        </w:tabs>
        <w:ind w:left="4320" w:hanging="360"/>
      </w:pPr>
    </w:lvl>
    <w:lvl w:ilvl="6" w:tplc="E1DEAA46" w:tentative="1">
      <w:start w:val="1"/>
      <w:numFmt w:val="decimal"/>
      <w:lvlText w:val="%7."/>
      <w:lvlJc w:val="left"/>
      <w:pPr>
        <w:tabs>
          <w:tab w:val="num" w:pos="5040"/>
        </w:tabs>
        <w:ind w:left="5040" w:hanging="360"/>
      </w:pPr>
    </w:lvl>
    <w:lvl w:ilvl="7" w:tplc="D5548172" w:tentative="1">
      <w:start w:val="1"/>
      <w:numFmt w:val="decimal"/>
      <w:lvlText w:val="%8."/>
      <w:lvlJc w:val="left"/>
      <w:pPr>
        <w:tabs>
          <w:tab w:val="num" w:pos="5760"/>
        </w:tabs>
        <w:ind w:left="5760" w:hanging="360"/>
      </w:pPr>
    </w:lvl>
    <w:lvl w:ilvl="8" w:tplc="7ACA16EC" w:tentative="1">
      <w:start w:val="1"/>
      <w:numFmt w:val="decimal"/>
      <w:lvlText w:val="%9."/>
      <w:lvlJc w:val="left"/>
      <w:pPr>
        <w:tabs>
          <w:tab w:val="num" w:pos="6480"/>
        </w:tabs>
        <w:ind w:left="6480" w:hanging="360"/>
      </w:pPr>
    </w:lvl>
  </w:abstractNum>
  <w:abstractNum w:abstractNumId="17" w15:restartNumberingAfterBreak="0">
    <w:nsid w:val="541F76B3"/>
    <w:multiLevelType w:val="hybridMultilevel"/>
    <w:tmpl w:val="F904D9C8"/>
    <w:lvl w:ilvl="0" w:tplc="7FBE38BA">
      <w:start w:val="1"/>
      <w:numFmt w:val="bullet"/>
      <w:lvlText w:val="•"/>
      <w:lvlJc w:val="left"/>
      <w:pPr>
        <w:tabs>
          <w:tab w:val="num" w:pos="720"/>
        </w:tabs>
        <w:ind w:left="720" w:hanging="360"/>
      </w:pPr>
      <w:rPr>
        <w:rFonts w:ascii="Arial" w:hAnsi="Arial" w:hint="default"/>
      </w:rPr>
    </w:lvl>
    <w:lvl w:ilvl="1" w:tplc="BB1A60D0" w:tentative="1">
      <w:start w:val="1"/>
      <w:numFmt w:val="bullet"/>
      <w:lvlText w:val="•"/>
      <w:lvlJc w:val="left"/>
      <w:pPr>
        <w:tabs>
          <w:tab w:val="num" w:pos="1440"/>
        </w:tabs>
        <w:ind w:left="1440" w:hanging="360"/>
      </w:pPr>
      <w:rPr>
        <w:rFonts w:ascii="Arial" w:hAnsi="Arial" w:hint="default"/>
      </w:rPr>
    </w:lvl>
    <w:lvl w:ilvl="2" w:tplc="77F2245C" w:tentative="1">
      <w:start w:val="1"/>
      <w:numFmt w:val="bullet"/>
      <w:lvlText w:val="•"/>
      <w:lvlJc w:val="left"/>
      <w:pPr>
        <w:tabs>
          <w:tab w:val="num" w:pos="2160"/>
        </w:tabs>
        <w:ind w:left="2160" w:hanging="360"/>
      </w:pPr>
      <w:rPr>
        <w:rFonts w:ascii="Arial" w:hAnsi="Arial" w:hint="default"/>
      </w:rPr>
    </w:lvl>
    <w:lvl w:ilvl="3" w:tplc="61964B4C" w:tentative="1">
      <w:start w:val="1"/>
      <w:numFmt w:val="bullet"/>
      <w:lvlText w:val="•"/>
      <w:lvlJc w:val="left"/>
      <w:pPr>
        <w:tabs>
          <w:tab w:val="num" w:pos="2880"/>
        </w:tabs>
        <w:ind w:left="2880" w:hanging="360"/>
      </w:pPr>
      <w:rPr>
        <w:rFonts w:ascii="Arial" w:hAnsi="Arial" w:hint="default"/>
      </w:rPr>
    </w:lvl>
    <w:lvl w:ilvl="4" w:tplc="376EF1A8" w:tentative="1">
      <w:start w:val="1"/>
      <w:numFmt w:val="bullet"/>
      <w:lvlText w:val="•"/>
      <w:lvlJc w:val="left"/>
      <w:pPr>
        <w:tabs>
          <w:tab w:val="num" w:pos="3600"/>
        </w:tabs>
        <w:ind w:left="3600" w:hanging="360"/>
      </w:pPr>
      <w:rPr>
        <w:rFonts w:ascii="Arial" w:hAnsi="Arial" w:hint="default"/>
      </w:rPr>
    </w:lvl>
    <w:lvl w:ilvl="5" w:tplc="74A8DECC" w:tentative="1">
      <w:start w:val="1"/>
      <w:numFmt w:val="bullet"/>
      <w:lvlText w:val="•"/>
      <w:lvlJc w:val="left"/>
      <w:pPr>
        <w:tabs>
          <w:tab w:val="num" w:pos="4320"/>
        </w:tabs>
        <w:ind w:left="4320" w:hanging="360"/>
      </w:pPr>
      <w:rPr>
        <w:rFonts w:ascii="Arial" w:hAnsi="Arial" w:hint="default"/>
      </w:rPr>
    </w:lvl>
    <w:lvl w:ilvl="6" w:tplc="B7A49692" w:tentative="1">
      <w:start w:val="1"/>
      <w:numFmt w:val="bullet"/>
      <w:lvlText w:val="•"/>
      <w:lvlJc w:val="left"/>
      <w:pPr>
        <w:tabs>
          <w:tab w:val="num" w:pos="5040"/>
        </w:tabs>
        <w:ind w:left="5040" w:hanging="360"/>
      </w:pPr>
      <w:rPr>
        <w:rFonts w:ascii="Arial" w:hAnsi="Arial" w:hint="default"/>
      </w:rPr>
    </w:lvl>
    <w:lvl w:ilvl="7" w:tplc="F646880A" w:tentative="1">
      <w:start w:val="1"/>
      <w:numFmt w:val="bullet"/>
      <w:lvlText w:val="•"/>
      <w:lvlJc w:val="left"/>
      <w:pPr>
        <w:tabs>
          <w:tab w:val="num" w:pos="5760"/>
        </w:tabs>
        <w:ind w:left="5760" w:hanging="360"/>
      </w:pPr>
      <w:rPr>
        <w:rFonts w:ascii="Arial" w:hAnsi="Arial" w:hint="default"/>
      </w:rPr>
    </w:lvl>
    <w:lvl w:ilvl="8" w:tplc="7F54196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85D216F"/>
    <w:multiLevelType w:val="hybridMultilevel"/>
    <w:tmpl w:val="418CFF84"/>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90A2B4C"/>
    <w:multiLevelType w:val="hybridMultilevel"/>
    <w:tmpl w:val="9562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5D0E03"/>
    <w:multiLevelType w:val="hybridMultilevel"/>
    <w:tmpl w:val="9B9A01C8"/>
    <w:lvl w:ilvl="0" w:tplc="8D8A84B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A45DC2"/>
    <w:multiLevelType w:val="hybridMultilevel"/>
    <w:tmpl w:val="151C5A0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374195"/>
    <w:multiLevelType w:val="hybridMultilevel"/>
    <w:tmpl w:val="DD00CEF8"/>
    <w:lvl w:ilvl="0" w:tplc="F81A98A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9F2850"/>
    <w:multiLevelType w:val="hybridMultilevel"/>
    <w:tmpl w:val="95625B50"/>
    <w:lvl w:ilvl="0" w:tplc="7A96676A">
      <w:start w:val="1"/>
      <w:numFmt w:val="bullet"/>
      <w:lvlText w:val=""/>
      <w:lvlJc w:val="left"/>
      <w:pPr>
        <w:tabs>
          <w:tab w:val="num" w:pos="720"/>
        </w:tabs>
        <w:ind w:left="720" w:hanging="360"/>
      </w:pPr>
      <w:rPr>
        <w:rFonts w:ascii="Symbol" w:hAnsi="Symbol" w:hint="default"/>
      </w:rPr>
    </w:lvl>
    <w:lvl w:ilvl="1" w:tplc="E9C267F6" w:tentative="1">
      <w:start w:val="1"/>
      <w:numFmt w:val="bullet"/>
      <w:lvlText w:val=""/>
      <w:lvlJc w:val="left"/>
      <w:pPr>
        <w:tabs>
          <w:tab w:val="num" w:pos="1440"/>
        </w:tabs>
        <w:ind w:left="1440" w:hanging="360"/>
      </w:pPr>
      <w:rPr>
        <w:rFonts w:ascii="Symbol" w:hAnsi="Symbol" w:hint="default"/>
      </w:rPr>
    </w:lvl>
    <w:lvl w:ilvl="2" w:tplc="E5B872AE">
      <w:start w:val="1"/>
      <w:numFmt w:val="bullet"/>
      <w:lvlText w:val=""/>
      <w:lvlJc w:val="left"/>
      <w:pPr>
        <w:tabs>
          <w:tab w:val="num" w:pos="2160"/>
        </w:tabs>
        <w:ind w:left="2160" w:hanging="360"/>
      </w:pPr>
      <w:rPr>
        <w:rFonts w:ascii="Symbol" w:hAnsi="Symbol" w:hint="default"/>
      </w:rPr>
    </w:lvl>
    <w:lvl w:ilvl="3" w:tplc="E49E0BAA" w:tentative="1">
      <w:start w:val="1"/>
      <w:numFmt w:val="bullet"/>
      <w:lvlText w:val=""/>
      <w:lvlJc w:val="left"/>
      <w:pPr>
        <w:tabs>
          <w:tab w:val="num" w:pos="2880"/>
        </w:tabs>
        <w:ind w:left="2880" w:hanging="360"/>
      </w:pPr>
      <w:rPr>
        <w:rFonts w:ascii="Symbol" w:hAnsi="Symbol" w:hint="default"/>
      </w:rPr>
    </w:lvl>
    <w:lvl w:ilvl="4" w:tplc="BF34AE9A" w:tentative="1">
      <w:start w:val="1"/>
      <w:numFmt w:val="bullet"/>
      <w:lvlText w:val=""/>
      <w:lvlJc w:val="left"/>
      <w:pPr>
        <w:tabs>
          <w:tab w:val="num" w:pos="3600"/>
        </w:tabs>
        <w:ind w:left="3600" w:hanging="360"/>
      </w:pPr>
      <w:rPr>
        <w:rFonts w:ascii="Symbol" w:hAnsi="Symbol" w:hint="default"/>
      </w:rPr>
    </w:lvl>
    <w:lvl w:ilvl="5" w:tplc="D870C30C" w:tentative="1">
      <w:start w:val="1"/>
      <w:numFmt w:val="bullet"/>
      <w:lvlText w:val=""/>
      <w:lvlJc w:val="left"/>
      <w:pPr>
        <w:tabs>
          <w:tab w:val="num" w:pos="4320"/>
        </w:tabs>
        <w:ind w:left="4320" w:hanging="360"/>
      </w:pPr>
      <w:rPr>
        <w:rFonts w:ascii="Symbol" w:hAnsi="Symbol" w:hint="default"/>
      </w:rPr>
    </w:lvl>
    <w:lvl w:ilvl="6" w:tplc="5EAA0022" w:tentative="1">
      <w:start w:val="1"/>
      <w:numFmt w:val="bullet"/>
      <w:lvlText w:val=""/>
      <w:lvlJc w:val="left"/>
      <w:pPr>
        <w:tabs>
          <w:tab w:val="num" w:pos="5040"/>
        </w:tabs>
        <w:ind w:left="5040" w:hanging="360"/>
      </w:pPr>
      <w:rPr>
        <w:rFonts w:ascii="Symbol" w:hAnsi="Symbol" w:hint="default"/>
      </w:rPr>
    </w:lvl>
    <w:lvl w:ilvl="7" w:tplc="96B29A74" w:tentative="1">
      <w:start w:val="1"/>
      <w:numFmt w:val="bullet"/>
      <w:lvlText w:val=""/>
      <w:lvlJc w:val="left"/>
      <w:pPr>
        <w:tabs>
          <w:tab w:val="num" w:pos="5760"/>
        </w:tabs>
        <w:ind w:left="5760" w:hanging="360"/>
      </w:pPr>
      <w:rPr>
        <w:rFonts w:ascii="Symbol" w:hAnsi="Symbol" w:hint="default"/>
      </w:rPr>
    </w:lvl>
    <w:lvl w:ilvl="8" w:tplc="ECECC86A"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B2F36F3"/>
    <w:multiLevelType w:val="hybridMultilevel"/>
    <w:tmpl w:val="7C7625CA"/>
    <w:lvl w:ilvl="0" w:tplc="8D8A84B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AA2879"/>
    <w:multiLevelType w:val="hybridMultilevel"/>
    <w:tmpl w:val="6F1C1A2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1F51E9"/>
    <w:multiLevelType w:val="multilevel"/>
    <w:tmpl w:val="186A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0637F2"/>
    <w:multiLevelType w:val="hybridMultilevel"/>
    <w:tmpl w:val="118A3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2F451F"/>
    <w:multiLevelType w:val="hybridMultilevel"/>
    <w:tmpl w:val="3E083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B54860"/>
    <w:multiLevelType w:val="hybridMultilevel"/>
    <w:tmpl w:val="AE7C4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20"/>
  </w:num>
  <w:num w:numId="3">
    <w:abstractNumId w:val="24"/>
  </w:num>
  <w:num w:numId="4">
    <w:abstractNumId w:val="0"/>
  </w:num>
  <w:num w:numId="5">
    <w:abstractNumId w:val="26"/>
  </w:num>
  <w:num w:numId="6">
    <w:abstractNumId w:val="17"/>
  </w:num>
  <w:num w:numId="7">
    <w:abstractNumId w:val="4"/>
  </w:num>
  <w:num w:numId="8">
    <w:abstractNumId w:val="10"/>
  </w:num>
  <w:num w:numId="9">
    <w:abstractNumId w:val="28"/>
  </w:num>
  <w:num w:numId="10">
    <w:abstractNumId w:val="19"/>
  </w:num>
  <w:num w:numId="11">
    <w:abstractNumId w:val="18"/>
  </w:num>
  <w:num w:numId="12">
    <w:abstractNumId w:val="13"/>
  </w:num>
  <w:num w:numId="13">
    <w:abstractNumId w:val="9"/>
  </w:num>
  <w:num w:numId="14">
    <w:abstractNumId w:val="8"/>
  </w:num>
  <w:num w:numId="15">
    <w:abstractNumId w:val="23"/>
  </w:num>
  <w:num w:numId="16">
    <w:abstractNumId w:val="11"/>
  </w:num>
  <w:num w:numId="17">
    <w:abstractNumId w:val="16"/>
  </w:num>
  <w:num w:numId="18">
    <w:abstractNumId w:val="2"/>
  </w:num>
  <w:num w:numId="19">
    <w:abstractNumId w:val="1"/>
  </w:num>
  <w:num w:numId="20">
    <w:abstractNumId w:val="12"/>
  </w:num>
  <w:num w:numId="21">
    <w:abstractNumId w:val="3"/>
  </w:num>
  <w:num w:numId="22">
    <w:abstractNumId w:val="5"/>
  </w:num>
  <w:num w:numId="23">
    <w:abstractNumId w:val="7"/>
  </w:num>
  <w:num w:numId="24">
    <w:abstractNumId w:val="29"/>
  </w:num>
  <w:num w:numId="25">
    <w:abstractNumId w:val="6"/>
  </w:num>
  <w:num w:numId="26">
    <w:abstractNumId w:val="22"/>
  </w:num>
  <w:num w:numId="27">
    <w:abstractNumId w:val="14"/>
  </w:num>
  <w:num w:numId="28">
    <w:abstractNumId w:val="15"/>
  </w:num>
  <w:num w:numId="29">
    <w:abstractNumId w:val="2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D64"/>
    <w:rsid w:val="000011A2"/>
    <w:rsid w:val="00005C98"/>
    <w:rsid w:val="0002241C"/>
    <w:rsid w:val="000236DF"/>
    <w:rsid w:val="00033820"/>
    <w:rsid w:val="00035356"/>
    <w:rsid w:val="000519DC"/>
    <w:rsid w:val="00051EC0"/>
    <w:rsid w:val="00052E70"/>
    <w:rsid w:val="0005352D"/>
    <w:rsid w:val="00062219"/>
    <w:rsid w:val="000636A5"/>
    <w:rsid w:val="00063AFD"/>
    <w:rsid w:val="00063D67"/>
    <w:rsid w:val="00067AB7"/>
    <w:rsid w:val="00071C04"/>
    <w:rsid w:val="00083ED0"/>
    <w:rsid w:val="00083F95"/>
    <w:rsid w:val="00087795"/>
    <w:rsid w:val="000B21DC"/>
    <w:rsid w:val="000B3E9E"/>
    <w:rsid w:val="000B671C"/>
    <w:rsid w:val="000D3A6E"/>
    <w:rsid w:val="000D57EC"/>
    <w:rsid w:val="000D5C51"/>
    <w:rsid w:val="000E1097"/>
    <w:rsid w:val="000E1938"/>
    <w:rsid w:val="000F2712"/>
    <w:rsid w:val="00100205"/>
    <w:rsid w:val="00101D01"/>
    <w:rsid w:val="00112308"/>
    <w:rsid w:val="00116EF4"/>
    <w:rsid w:val="0012450B"/>
    <w:rsid w:val="001246B1"/>
    <w:rsid w:val="00130984"/>
    <w:rsid w:val="00132340"/>
    <w:rsid w:val="0013615C"/>
    <w:rsid w:val="0013658E"/>
    <w:rsid w:val="00153D1F"/>
    <w:rsid w:val="00156E99"/>
    <w:rsid w:val="00171ECD"/>
    <w:rsid w:val="00180AE3"/>
    <w:rsid w:val="001900E3"/>
    <w:rsid w:val="00197485"/>
    <w:rsid w:val="001977B8"/>
    <w:rsid w:val="001A2686"/>
    <w:rsid w:val="001A51B5"/>
    <w:rsid w:val="001A7BFB"/>
    <w:rsid w:val="001B2AA4"/>
    <w:rsid w:val="001C2838"/>
    <w:rsid w:val="001C40DD"/>
    <w:rsid w:val="001D5CB2"/>
    <w:rsid w:val="001D6D70"/>
    <w:rsid w:val="001F37B2"/>
    <w:rsid w:val="001F5220"/>
    <w:rsid w:val="001F6D4D"/>
    <w:rsid w:val="002032AB"/>
    <w:rsid w:val="00206B0E"/>
    <w:rsid w:val="00214A67"/>
    <w:rsid w:val="00216AA4"/>
    <w:rsid w:val="00216F0B"/>
    <w:rsid w:val="0022213D"/>
    <w:rsid w:val="002354C0"/>
    <w:rsid w:val="0024224E"/>
    <w:rsid w:val="002446D2"/>
    <w:rsid w:val="00246BEC"/>
    <w:rsid w:val="00257D2B"/>
    <w:rsid w:val="002742FE"/>
    <w:rsid w:val="00275D6C"/>
    <w:rsid w:val="002778B5"/>
    <w:rsid w:val="00280337"/>
    <w:rsid w:val="00283B6B"/>
    <w:rsid w:val="00286734"/>
    <w:rsid w:val="00291249"/>
    <w:rsid w:val="002978FC"/>
    <w:rsid w:val="002B1155"/>
    <w:rsid w:val="002B1D8B"/>
    <w:rsid w:val="002C36AC"/>
    <w:rsid w:val="002C60B2"/>
    <w:rsid w:val="002C7340"/>
    <w:rsid w:val="002C7BBB"/>
    <w:rsid w:val="002D03A2"/>
    <w:rsid w:val="002D5682"/>
    <w:rsid w:val="002E4388"/>
    <w:rsid w:val="002F0272"/>
    <w:rsid w:val="002F3902"/>
    <w:rsid w:val="00313EAC"/>
    <w:rsid w:val="00315068"/>
    <w:rsid w:val="0031774F"/>
    <w:rsid w:val="003179EE"/>
    <w:rsid w:val="0032224C"/>
    <w:rsid w:val="00324DA6"/>
    <w:rsid w:val="00331391"/>
    <w:rsid w:val="00332BFA"/>
    <w:rsid w:val="003334CC"/>
    <w:rsid w:val="0034292A"/>
    <w:rsid w:val="00342948"/>
    <w:rsid w:val="003430F6"/>
    <w:rsid w:val="003437BB"/>
    <w:rsid w:val="00346B4D"/>
    <w:rsid w:val="00350109"/>
    <w:rsid w:val="00352208"/>
    <w:rsid w:val="00361EFB"/>
    <w:rsid w:val="003625B2"/>
    <w:rsid w:val="003661BB"/>
    <w:rsid w:val="003671FF"/>
    <w:rsid w:val="0037565E"/>
    <w:rsid w:val="00377370"/>
    <w:rsid w:val="0038090F"/>
    <w:rsid w:val="00380A0C"/>
    <w:rsid w:val="00387A92"/>
    <w:rsid w:val="003932D5"/>
    <w:rsid w:val="003A2C66"/>
    <w:rsid w:val="003A4132"/>
    <w:rsid w:val="003A433B"/>
    <w:rsid w:val="003A4B47"/>
    <w:rsid w:val="003A521A"/>
    <w:rsid w:val="003A744F"/>
    <w:rsid w:val="003B47E1"/>
    <w:rsid w:val="003B7AE4"/>
    <w:rsid w:val="003C4590"/>
    <w:rsid w:val="003C773C"/>
    <w:rsid w:val="003D2330"/>
    <w:rsid w:val="003D4D21"/>
    <w:rsid w:val="003D558A"/>
    <w:rsid w:val="003E3388"/>
    <w:rsid w:val="003F0C7F"/>
    <w:rsid w:val="003F1C63"/>
    <w:rsid w:val="003F3FE9"/>
    <w:rsid w:val="003F60A5"/>
    <w:rsid w:val="00400B36"/>
    <w:rsid w:val="00414CF0"/>
    <w:rsid w:val="004160F2"/>
    <w:rsid w:val="00417A53"/>
    <w:rsid w:val="0042164C"/>
    <w:rsid w:val="00425A43"/>
    <w:rsid w:val="00426025"/>
    <w:rsid w:val="00431545"/>
    <w:rsid w:val="004361C3"/>
    <w:rsid w:val="004366ED"/>
    <w:rsid w:val="00436F37"/>
    <w:rsid w:val="00441445"/>
    <w:rsid w:val="0044314D"/>
    <w:rsid w:val="00445331"/>
    <w:rsid w:val="00446B1C"/>
    <w:rsid w:val="00453668"/>
    <w:rsid w:val="00453BE9"/>
    <w:rsid w:val="00462036"/>
    <w:rsid w:val="004707C3"/>
    <w:rsid w:val="00470EA5"/>
    <w:rsid w:val="00472E5D"/>
    <w:rsid w:val="00475589"/>
    <w:rsid w:val="00477DB8"/>
    <w:rsid w:val="0048768E"/>
    <w:rsid w:val="00487AE2"/>
    <w:rsid w:val="00491A66"/>
    <w:rsid w:val="00494181"/>
    <w:rsid w:val="00496D1D"/>
    <w:rsid w:val="0049752C"/>
    <w:rsid w:val="004A0E8E"/>
    <w:rsid w:val="004A108F"/>
    <w:rsid w:val="004B51C1"/>
    <w:rsid w:val="004B727A"/>
    <w:rsid w:val="004C16FA"/>
    <w:rsid w:val="004C471B"/>
    <w:rsid w:val="004C694F"/>
    <w:rsid w:val="004D4000"/>
    <w:rsid w:val="004E0DE2"/>
    <w:rsid w:val="004E7517"/>
    <w:rsid w:val="004E76B3"/>
    <w:rsid w:val="004F6380"/>
    <w:rsid w:val="004F79F6"/>
    <w:rsid w:val="004F7B66"/>
    <w:rsid w:val="005005CD"/>
    <w:rsid w:val="00501555"/>
    <w:rsid w:val="0050205B"/>
    <w:rsid w:val="005070FC"/>
    <w:rsid w:val="00507761"/>
    <w:rsid w:val="00510D66"/>
    <w:rsid w:val="00510DF7"/>
    <w:rsid w:val="0051501E"/>
    <w:rsid w:val="00517D24"/>
    <w:rsid w:val="005247AC"/>
    <w:rsid w:val="00527C3A"/>
    <w:rsid w:val="00530C9C"/>
    <w:rsid w:val="0053466D"/>
    <w:rsid w:val="0053759D"/>
    <w:rsid w:val="0055057F"/>
    <w:rsid w:val="0055135D"/>
    <w:rsid w:val="005530DB"/>
    <w:rsid w:val="005628B9"/>
    <w:rsid w:val="00563ECE"/>
    <w:rsid w:val="00587642"/>
    <w:rsid w:val="00597AA4"/>
    <w:rsid w:val="005B1153"/>
    <w:rsid w:val="005B2D3F"/>
    <w:rsid w:val="005B3DED"/>
    <w:rsid w:val="005B5EC8"/>
    <w:rsid w:val="005B724B"/>
    <w:rsid w:val="005C0C6B"/>
    <w:rsid w:val="005C5D60"/>
    <w:rsid w:val="005D44C6"/>
    <w:rsid w:val="005D731E"/>
    <w:rsid w:val="005D7B83"/>
    <w:rsid w:val="005F0672"/>
    <w:rsid w:val="005F0A02"/>
    <w:rsid w:val="005F1712"/>
    <w:rsid w:val="005F33E6"/>
    <w:rsid w:val="005F4ED1"/>
    <w:rsid w:val="005F7D60"/>
    <w:rsid w:val="006009B9"/>
    <w:rsid w:val="00616171"/>
    <w:rsid w:val="0062228F"/>
    <w:rsid w:val="00624407"/>
    <w:rsid w:val="006249DB"/>
    <w:rsid w:val="00633A04"/>
    <w:rsid w:val="00635559"/>
    <w:rsid w:val="006417CE"/>
    <w:rsid w:val="00641C32"/>
    <w:rsid w:val="00644058"/>
    <w:rsid w:val="00644390"/>
    <w:rsid w:val="00647B5B"/>
    <w:rsid w:val="0065103D"/>
    <w:rsid w:val="006513DB"/>
    <w:rsid w:val="0065291C"/>
    <w:rsid w:val="00660662"/>
    <w:rsid w:val="0066227A"/>
    <w:rsid w:val="00662B93"/>
    <w:rsid w:val="00663009"/>
    <w:rsid w:val="00664824"/>
    <w:rsid w:val="00672FCD"/>
    <w:rsid w:val="00675BBF"/>
    <w:rsid w:val="006810EA"/>
    <w:rsid w:val="006825E6"/>
    <w:rsid w:val="00685A5B"/>
    <w:rsid w:val="00687014"/>
    <w:rsid w:val="00694B89"/>
    <w:rsid w:val="0069535F"/>
    <w:rsid w:val="00695822"/>
    <w:rsid w:val="00697F1F"/>
    <w:rsid w:val="006A10DA"/>
    <w:rsid w:val="006A1852"/>
    <w:rsid w:val="006A1E5C"/>
    <w:rsid w:val="006A625A"/>
    <w:rsid w:val="006B16B9"/>
    <w:rsid w:val="006B1737"/>
    <w:rsid w:val="006C0C66"/>
    <w:rsid w:val="006C10AF"/>
    <w:rsid w:val="006C19D1"/>
    <w:rsid w:val="006D12DD"/>
    <w:rsid w:val="006D26C2"/>
    <w:rsid w:val="006D30CB"/>
    <w:rsid w:val="006D3185"/>
    <w:rsid w:val="006D4B61"/>
    <w:rsid w:val="006D4C35"/>
    <w:rsid w:val="006D6F9E"/>
    <w:rsid w:val="006F2E09"/>
    <w:rsid w:val="007005F5"/>
    <w:rsid w:val="0071378C"/>
    <w:rsid w:val="007156E3"/>
    <w:rsid w:val="00717AC2"/>
    <w:rsid w:val="0072055F"/>
    <w:rsid w:val="00726C9F"/>
    <w:rsid w:val="0073374C"/>
    <w:rsid w:val="00736409"/>
    <w:rsid w:val="00740407"/>
    <w:rsid w:val="00743B4F"/>
    <w:rsid w:val="00744AA7"/>
    <w:rsid w:val="00746961"/>
    <w:rsid w:val="00753113"/>
    <w:rsid w:val="00761083"/>
    <w:rsid w:val="00763507"/>
    <w:rsid w:val="00773B9F"/>
    <w:rsid w:val="007814C4"/>
    <w:rsid w:val="00786E8C"/>
    <w:rsid w:val="00790358"/>
    <w:rsid w:val="00793239"/>
    <w:rsid w:val="007A336D"/>
    <w:rsid w:val="007A5720"/>
    <w:rsid w:val="007B23AD"/>
    <w:rsid w:val="007B63BF"/>
    <w:rsid w:val="007C0029"/>
    <w:rsid w:val="007C1070"/>
    <w:rsid w:val="007C31A2"/>
    <w:rsid w:val="007C6A84"/>
    <w:rsid w:val="007C7F5B"/>
    <w:rsid w:val="007D2AD8"/>
    <w:rsid w:val="007D5390"/>
    <w:rsid w:val="007D55F6"/>
    <w:rsid w:val="007D64CA"/>
    <w:rsid w:val="007E6083"/>
    <w:rsid w:val="007F0034"/>
    <w:rsid w:val="007F35E1"/>
    <w:rsid w:val="007F4F28"/>
    <w:rsid w:val="007F51DB"/>
    <w:rsid w:val="007F74FB"/>
    <w:rsid w:val="00801A19"/>
    <w:rsid w:val="008122BA"/>
    <w:rsid w:val="00812E03"/>
    <w:rsid w:val="0081346D"/>
    <w:rsid w:val="00814AB5"/>
    <w:rsid w:val="008170EE"/>
    <w:rsid w:val="008224C4"/>
    <w:rsid w:val="008237A4"/>
    <w:rsid w:val="0082408B"/>
    <w:rsid w:val="00824168"/>
    <w:rsid w:val="0082538C"/>
    <w:rsid w:val="00825883"/>
    <w:rsid w:val="00825E38"/>
    <w:rsid w:val="00836F2F"/>
    <w:rsid w:val="008504B1"/>
    <w:rsid w:val="00851473"/>
    <w:rsid w:val="00855E38"/>
    <w:rsid w:val="00861371"/>
    <w:rsid w:val="00861D9C"/>
    <w:rsid w:val="00862B81"/>
    <w:rsid w:val="008647F3"/>
    <w:rsid w:val="00865389"/>
    <w:rsid w:val="0086701D"/>
    <w:rsid w:val="0087546A"/>
    <w:rsid w:val="0088138B"/>
    <w:rsid w:val="00882D2D"/>
    <w:rsid w:val="008922CB"/>
    <w:rsid w:val="00894859"/>
    <w:rsid w:val="008A3D64"/>
    <w:rsid w:val="008C0D14"/>
    <w:rsid w:val="008C301D"/>
    <w:rsid w:val="008C4E62"/>
    <w:rsid w:val="008C500F"/>
    <w:rsid w:val="008D1FC6"/>
    <w:rsid w:val="008D380E"/>
    <w:rsid w:val="008E7C5E"/>
    <w:rsid w:val="00905A1A"/>
    <w:rsid w:val="00907897"/>
    <w:rsid w:val="00907D31"/>
    <w:rsid w:val="009106C2"/>
    <w:rsid w:val="00915437"/>
    <w:rsid w:val="00927A14"/>
    <w:rsid w:val="00930FD4"/>
    <w:rsid w:val="009541CB"/>
    <w:rsid w:val="0095507C"/>
    <w:rsid w:val="00957555"/>
    <w:rsid w:val="00960C35"/>
    <w:rsid w:val="009667A3"/>
    <w:rsid w:val="00971924"/>
    <w:rsid w:val="00973CF0"/>
    <w:rsid w:val="009748DC"/>
    <w:rsid w:val="00976F31"/>
    <w:rsid w:val="009A5010"/>
    <w:rsid w:val="009B69C3"/>
    <w:rsid w:val="009D5118"/>
    <w:rsid w:val="009D58F5"/>
    <w:rsid w:val="009E272A"/>
    <w:rsid w:val="009E7A46"/>
    <w:rsid w:val="009F1A3F"/>
    <w:rsid w:val="009F3BA9"/>
    <w:rsid w:val="009F4413"/>
    <w:rsid w:val="009F570F"/>
    <w:rsid w:val="00A07F76"/>
    <w:rsid w:val="00A32DB0"/>
    <w:rsid w:val="00A349F5"/>
    <w:rsid w:val="00A3514B"/>
    <w:rsid w:val="00A368F0"/>
    <w:rsid w:val="00A45673"/>
    <w:rsid w:val="00A55F0C"/>
    <w:rsid w:val="00A562C5"/>
    <w:rsid w:val="00A62C7F"/>
    <w:rsid w:val="00A62E1B"/>
    <w:rsid w:val="00A94D9A"/>
    <w:rsid w:val="00AA15F6"/>
    <w:rsid w:val="00AA705B"/>
    <w:rsid w:val="00AC106D"/>
    <w:rsid w:val="00AC2366"/>
    <w:rsid w:val="00AC3D6B"/>
    <w:rsid w:val="00AC5177"/>
    <w:rsid w:val="00AC5AC6"/>
    <w:rsid w:val="00AC74F9"/>
    <w:rsid w:val="00AD07F9"/>
    <w:rsid w:val="00AD15F6"/>
    <w:rsid w:val="00AD2A38"/>
    <w:rsid w:val="00AD3E9F"/>
    <w:rsid w:val="00AD51CD"/>
    <w:rsid w:val="00AD6A22"/>
    <w:rsid w:val="00AE0B66"/>
    <w:rsid w:val="00AE2249"/>
    <w:rsid w:val="00AE2518"/>
    <w:rsid w:val="00AF0CEA"/>
    <w:rsid w:val="00B04956"/>
    <w:rsid w:val="00B11F4D"/>
    <w:rsid w:val="00B121F8"/>
    <w:rsid w:val="00B13820"/>
    <w:rsid w:val="00B15735"/>
    <w:rsid w:val="00B15F8C"/>
    <w:rsid w:val="00B179FB"/>
    <w:rsid w:val="00B207A8"/>
    <w:rsid w:val="00B20E94"/>
    <w:rsid w:val="00B32F07"/>
    <w:rsid w:val="00B33264"/>
    <w:rsid w:val="00B42F79"/>
    <w:rsid w:val="00B56882"/>
    <w:rsid w:val="00B56DEB"/>
    <w:rsid w:val="00B57ADE"/>
    <w:rsid w:val="00B6665E"/>
    <w:rsid w:val="00B713AD"/>
    <w:rsid w:val="00B72955"/>
    <w:rsid w:val="00B909DE"/>
    <w:rsid w:val="00B9520E"/>
    <w:rsid w:val="00BA37A4"/>
    <w:rsid w:val="00BA5522"/>
    <w:rsid w:val="00BB0642"/>
    <w:rsid w:val="00BB1801"/>
    <w:rsid w:val="00BB24B9"/>
    <w:rsid w:val="00BB4BDB"/>
    <w:rsid w:val="00BB7294"/>
    <w:rsid w:val="00BC1F6F"/>
    <w:rsid w:val="00BC446E"/>
    <w:rsid w:val="00BC44A0"/>
    <w:rsid w:val="00BD577A"/>
    <w:rsid w:val="00BE0B5A"/>
    <w:rsid w:val="00BE4169"/>
    <w:rsid w:val="00BE7434"/>
    <w:rsid w:val="00BF1187"/>
    <w:rsid w:val="00BF29F6"/>
    <w:rsid w:val="00C003B4"/>
    <w:rsid w:val="00C01186"/>
    <w:rsid w:val="00C03B6B"/>
    <w:rsid w:val="00C06015"/>
    <w:rsid w:val="00C15247"/>
    <w:rsid w:val="00C1734A"/>
    <w:rsid w:val="00C21154"/>
    <w:rsid w:val="00C26AE4"/>
    <w:rsid w:val="00C27352"/>
    <w:rsid w:val="00C41605"/>
    <w:rsid w:val="00C43FAC"/>
    <w:rsid w:val="00C44E34"/>
    <w:rsid w:val="00C4548E"/>
    <w:rsid w:val="00C57DD6"/>
    <w:rsid w:val="00C60055"/>
    <w:rsid w:val="00C631A9"/>
    <w:rsid w:val="00C66B90"/>
    <w:rsid w:val="00C742F5"/>
    <w:rsid w:val="00C9305D"/>
    <w:rsid w:val="00CA0AC1"/>
    <w:rsid w:val="00CA2330"/>
    <w:rsid w:val="00CA4A08"/>
    <w:rsid w:val="00CA71E7"/>
    <w:rsid w:val="00CB2246"/>
    <w:rsid w:val="00CB75F3"/>
    <w:rsid w:val="00CC011A"/>
    <w:rsid w:val="00CC1A54"/>
    <w:rsid w:val="00CC3576"/>
    <w:rsid w:val="00CF1251"/>
    <w:rsid w:val="00CF40F9"/>
    <w:rsid w:val="00CF7F84"/>
    <w:rsid w:val="00D0067F"/>
    <w:rsid w:val="00D04124"/>
    <w:rsid w:val="00D06A94"/>
    <w:rsid w:val="00D14C73"/>
    <w:rsid w:val="00D14DA1"/>
    <w:rsid w:val="00D20162"/>
    <w:rsid w:val="00D20D2E"/>
    <w:rsid w:val="00D2316B"/>
    <w:rsid w:val="00D273F2"/>
    <w:rsid w:val="00D34650"/>
    <w:rsid w:val="00D35B5A"/>
    <w:rsid w:val="00D35C29"/>
    <w:rsid w:val="00D507B1"/>
    <w:rsid w:val="00D5372D"/>
    <w:rsid w:val="00D547EE"/>
    <w:rsid w:val="00D566C9"/>
    <w:rsid w:val="00D609A5"/>
    <w:rsid w:val="00D63BB4"/>
    <w:rsid w:val="00D6553B"/>
    <w:rsid w:val="00D805C1"/>
    <w:rsid w:val="00D809E4"/>
    <w:rsid w:val="00D81D1A"/>
    <w:rsid w:val="00D84E5A"/>
    <w:rsid w:val="00D84F44"/>
    <w:rsid w:val="00D85361"/>
    <w:rsid w:val="00D86801"/>
    <w:rsid w:val="00D9139F"/>
    <w:rsid w:val="00D95339"/>
    <w:rsid w:val="00D97C67"/>
    <w:rsid w:val="00DA2CE8"/>
    <w:rsid w:val="00DA2E1C"/>
    <w:rsid w:val="00DB0518"/>
    <w:rsid w:val="00DB39A3"/>
    <w:rsid w:val="00DB607A"/>
    <w:rsid w:val="00DC1D9F"/>
    <w:rsid w:val="00DC2E8B"/>
    <w:rsid w:val="00DC4F87"/>
    <w:rsid w:val="00DC579F"/>
    <w:rsid w:val="00DC5D99"/>
    <w:rsid w:val="00DC6229"/>
    <w:rsid w:val="00DC62C0"/>
    <w:rsid w:val="00DC679F"/>
    <w:rsid w:val="00DE10BE"/>
    <w:rsid w:val="00DF2F2A"/>
    <w:rsid w:val="00DF3392"/>
    <w:rsid w:val="00DF44CB"/>
    <w:rsid w:val="00E00023"/>
    <w:rsid w:val="00E13D11"/>
    <w:rsid w:val="00E2071B"/>
    <w:rsid w:val="00E21C5A"/>
    <w:rsid w:val="00E23588"/>
    <w:rsid w:val="00E33539"/>
    <w:rsid w:val="00E33A9B"/>
    <w:rsid w:val="00E34C5C"/>
    <w:rsid w:val="00E40E08"/>
    <w:rsid w:val="00E52F49"/>
    <w:rsid w:val="00E57019"/>
    <w:rsid w:val="00E62831"/>
    <w:rsid w:val="00E70CF6"/>
    <w:rsid w:val="00E72F42"/>
    <w:rsid w:val="00E8169C"/>
    <w:rsid w:val="00E872A6"/>
    <w:rsid w:val="00E97432"/>
    <w:rsid w:val="00EC6051"/>
    <w:rsid w:val="00ED7870"/>
    <w:rsid w:val="00EE1358"/>
    <w:rsid w:val="00EF1EE6"/>
    <w:rsid w:val="00EF241B"/>
    <w:rsid w:val="00EF2DA8"/>
    <w:rsid w:val="00EF5489"/>
    <w:rsid w:val="00F01C38"/>
    <w:rsid w:val="00F11341"/>
    <w:rsid w:val="00F11800"/>
    <w:rsid w:val="00F1335C"/>
    <w:rsid w:val="00F24F46"/>
    <w:rsid w:val="00F271D7"/>
    <w:rsid w:val="00F33E1F"/>
    <w:rsid w:val="00F43726"/>
    <w:rsid w:val="00F44151"/>
    <w:rsid w:val="00F4492E"/>
    <w:rsid w:val="00F83AB5"/>
    <w:rsid w:val="00F90D3D"/>
    <w:rsid w:val="00F916FB"/>
    <w:rsid w:val="00F926BA"/>
    <w:rsid w:val="00F92BB3"/>
    <w:rsid w:val="00F97C91"/>
    <w:rsid w:val="00F97E65"/>
    <w:rsid w:val="00FA0334"/>
    <w:rsid w:val="00FA07EE"/>
    <w:rsid w:val="00FA1452"/>
    <w:rsid w:val="00FA3FA1"/>
    <w:rsid w:val="00FA4748"/>
    <w:rsid w:val="00FA4EC2"/>
    <w:rsid w:val="00FB2F73"/>
    <w:rsid w:val="00FB4C64"/>
    <w:rsid w:val="00FC24A7"/>
    <w:rsid w:val="00FC2AFB"/>
    <w:rsid w:val="00FC5754"/>
    <w:rsid w:val="00FC7C4A"/>
    <w:rsid w:val="00FD0A9B"/>
    <w:rsid w:val="00FD4F86"/>
    <w:rsid w:val="00FD65BF"/>
    <w:rsid w:val="00FD6E6A"/>
    <w:rsid w:val="00FD7164"/>
    <w:rsid w:val="00FE3888"/>
    <w:rsid w:val="00FF07DC"/>
    <w:rsid w:val="00FF0EED"/>
    <w:rsid w:val="00FF1E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ED41E"/>
  <w15:docId w15:val="{F363F978-BE47-4A61-92D6-7562C68F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3D64"/>
  </w:style>
  <w:style w:type="paragraph" w:styleId="Heading1">
    <w:name w:val="heading 1"/>
    <w:basedOn w:val="Normal"/>
    <w:link w:val="Heading1Char"/>
    <w:uiPriority w:val="9"/>
    <w:qFormat/>
    <w:rsid w:val="00814AB5"/>
    <w:pPr>
      <w:spacing w:before="100" w:beforeAutospacing="1" w:after="100" w:afterAutospacing="1" w:line="240" w:lineRule="auto"/>
      <w:outlineLvl w:val="0"/>
    </w:pPr>
    <w:rPr>
      <w:rFonts w:ascii="Cambria" w:eastAsia="Times New Roman" w:hAnsi="Cambria" w:cs="Times New Roman"/>
      <w:b/>
      <w:bCs/>
      <w:color w:val="365F91" w:themeColor="accent1" w:themeShade="BF"/>
      <w:kern w:val="36"/>
      <w:sz w:val="28"/>
      <w:szCs w:val="48"/>
      <w:lang w:eastAsia="en-GB"/>
    </w:rPr>
  </w:style>
  <w:style w:type="paragraph" w:styleId="Heading2">
    <w:name w:val="heading 2"/>
    <w:basedOn w:val="Normal"/>
    <w:next w:val="Normal"/>
    <w:link w:val="Heading2Char"/>
    <w:uiPriority w:val="9"/>
    <w:unhideWhenUsed/>
    <w:qFormat/>
    <w:rsid w:val="008504B1"/>
    <w:pPr>
      <w:keepNext/>
      <w:keepLines/>
      <w:numPr>
        <w:numId w:val="27"/>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D03A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reds Title,Bullet List,FooterText,List Paragraph1,列?出?段?落,Parágrafo da Lista,Dot pt,F5 List Paragraph,Indicator Text,Bullet 1,No Spacing1,List Paragraph Char Char Char,Colorful List - Accent 11,Numbered Para 1,Bullet Points"/>
    <w:basedOn w:val="Normal"/>
    <w:link w:val="ListParagraphChar"/>
    <w:uiPriority w:val="34"/>
    <w:qFormat/>
    <w:rsid w:val="008A3D64"/>
    <w:pPr>
      <w:ind w:left="720"/>
      <w:contextualSpacing/>
    </w:pPr>
  </w:style>
  <w:style w:type="character" w:styleId="CommentReference">
    <w:name w:val="annotation reference"/>
    <w:basedOn w:val="DefaultParagraphFont"/>
    <w:uiPriority w:val="99"/>
    <w:semiHidden/>
    <w:unhideWhenUsed/>
    <w:rsid w:val="008A3D64"/>
    <w:rPr>
      <w:sz w:val="16"/>
      <w:szCs w:val="16"/>
    </w:rPr>
  </w:style>
  <w:style w:type="paragraph" w:styleId="CommentText">
    <w:name w:val="annotation text"/>
    <w:basedOn w:val="Normal"/>
    <w:link w:val="CommentTextChar"/>
    <w:uiPriority w:val="99"/>
    <w:unhideWhenUsed/>
    <w:rsid w:val="008A3D64"/>
    <w:pPr>
      <w:spacing w:line="240" w:lineRule="auto"/>
    </w:pPr>
    <w:rPr>
      <w:sz w:val="20"/>
      <w:szCs w:val="20"/>
    </w:rPr>
  </w:style>
  <w:style w:type="character" w:customStyle="1" w:styleId="CommentTextChar">
    <w:name w:val="Comment Text Char"/>
    <w:basedOn w:val="DefaultParagraphFont"/>
    <w:link w:val="CommentText"/>
    <w:uiPriority w:val="99"/>
    <w:rsid w:val="008A3D64"/>
    <w:rPr>
      <w:sz w:val="20"/>
      <w:szCs w:val="20"/>
    </w:rPr>
  </w:style>
  <w:style w:type="character" w:customStyle="1" w:styleId="ListParagraphChar">
    <w:name w:val="List Paragraph Char"/>
    <w:aliases w:val="Creds Title Char,Bullet List Char,FooterText Char,List Paragraph1 Char,列?出?段?落 Char,Parágrafo da Lista Char,Dot pt Char,F5 List Paragraph Char,Indicator Text Char,Bullet 1 Char,No Spacing1 Char,List Paragraph Char Char Char Char"/>
    <w:link w:val="ListParagraph"/>
    <w:uiPriority w:val="34"/>
    <w:qFormat/>
    <w:locked/>
    <w:rsid w:val="008A3D64"/>
  </w:style>
  <w:style w:type="paragraph" w:styleId="EndnoteText">
    <w:name w:val="endnote text"/>
    <w:basedOn w:val="Normal"/>
    <w:link w:val="EndnoteTextChar"/>
    <w:uiPriority w:val="99"/>
    <w:unhideWhenUsed/>
    <w:rsid w:val="008A3D64"/>
    <w:pPr>
      <w:spacing w:after="0" w:line="240" w:lineRule="auto"/>
    </w:pPr>
    <w:rPr>
      <w:rFonts w:ascii="Times New Roman" w:hAnsi="Times New Roman"/>
      <w:sz w:val="20"/>
      <w:szCs w:val="20"/>
      <w:lang w:val="en-US" w:bidi="he-IL"/>
    </w:rPr>
  </w:style>
  <w:style w:type="character" w:customStyle="1" w:styleId="EndnoteTextChar">
    <w:name w:val="Endnote Text Char"/>
    <w:basedOn w:val="DefaultParagraphFont"/>
    <w:link w:val="EndnoteText"/>
    <w:uiPriority w:val="99"/>
    <w:rsid w:val="008A3D64"/>
    <w:rPr>
      <w:rFonts w:ascii="Times New Roman" w:hAnsi="Times New Roman"/>
      <w:sz w:val="20"/>
      <w:szCs w:val="20"/>
      <w:lang w:val="en-US" w:bidi="he-IL"/>
    </w:rPr>
  </w:style>
  <w:style w:type="paragraph" w:styleId="BalloonText">
    <w:name w:val="Balloon Text"/>
    <w:basedOn w:val="Normal"/>
    <w:link w:val="BalloonTextChar"/>
    <w:uiPriority w:val="99"/>
    <w:semiHidden/>
    <w:unhideWhenUsed/>
    <w:rsid w:val="008A3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D64"/>
    <w:rPr>
      <w:rFonts w:ascii="Tahoma" w:hAnsi="Tahoma" w:cs="Tahoma"/>
      <w:sz w:val="16"/>
      <w:szCs w:val="16"/>
    </w:rPr>
  </w:style>
  <w:style w:type="character" w:styleId="Hyperlink">
    <w:name w:val="Hyperlink"/>
    <w:basedOn w:val="DefaultParagraphFont"/>
    <w:uiPriority w:val="99"/>
    <w:unhideWhenUsed/>
    <w:rsid w:val="00635559"/>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635559"/>
    <w:rPr>
      <w:b/>
      <w:bCs/>
    </w:rPr>
  </w:style>
  <w:style w:type="character" w:customStyle="1" w:styleId="CommentSubjectChar">
    <w:name w:val="Comment Subject Char"/>
    <w:basedOn w:val="CommentTextChar"/>
    <w:link w:val="CommentSubject"/>
    <w:uiPriority w:val="99"/>
    <w:semiHidden/>
    <w:rsid w:val="00635559"/>
    <w:rPr>
      <w:b/>
      <w:bCs/>
      <w:sz w:val="20"/>
      <w:szCs w:val="20"/>
    </w:rPr>
  </w:style>
  <w:style w:type="paragraph" w:styleId="Revision">
    <w:name w:val="Revision"/>
    <w:hidden/>
    <w:uiPriority w:val="99"/>
    <w:semiHidden/>
    <w:rsid w:val="00D14DA1"/>
    <w:pPr>
      <w:spacing w:after="0" w:line="240" w:lineRule="auto"/>
    </w:pPr>
  </w:style>
  <w:style w:type="paragraph" w:styleId="NormalWeb">
    <w:name w:val="Normal (Web)"/>
    <w:basedOn w:val="Normal"/>
    <w:uiPriority w:val="99"/>
    <w:semiHidden/>
    <w:unhideWhenUsed/>
    <w:rsid w:val="00527C3A"/>
    <w:pPr>
      <w:spacing w:before="100" w:beforeAutospacing="1" w:after="100" w:afterAutospacing="1" w:line="240" w:lineRule="auto"/>
    </w:pPr>
    <w:rPr>
      <w:rFonts w:ascii="Times New Roman" w:eastAsia="Times New Roman" w:hAnsi="Times New Roman" w:cs="Times New Roman"/>
      <w:sz w:val="24"/>
      <w:szCs w:val="24"/>
      <w:lang w:val="de-CH" w:eastAsia="zh-CN"/>
    </w:rPr>
  </w:style>
  <w:style w:type="character" w:customStyle="1" w:styleId="glossary-term">
    <w:name w:val="glossary-term"/>
    <w:basedOn w:val="DefaultParagraphFont"/>
    <w:rsid w:val="0002241C"/>
  </w:style>
  <w:style w:type="character" w:styleId="Strong">
    <w:name w:val="Strong"/>
    <w:basedOn w:val="DefaultParagraphFont"/>
    <w:uiPriority w:val="22"/>
    <w:qFormat/>
    <w:rsid w:val="0002241C"/>
    <w:rPr>
      <w:b/>
      <w:bCs/>
    </w:rPr>
  </w:style>
  <w:style w:type="character" w:customStyle="1" w:styleId="Heading3Char">
    <w:name w:val="Heading 3 Char"/>
    <w:basedOn w:val="DefaultParagraphFont"/>
    <w:link w:val="Heading3"/>
    <w:uiPriority w:val="9"/>
    <w:semiHidden/>
    <w:rsid w:val="002D03A2"/>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4707C3"/>
    <w:rPr>
      <w:color w:val="800080" w:themeColor="followedHyperlink"/>
      <w:u w:val="single"/>
    </w:rPr>
  </w:style>
  <w:style w:type="table" w:styleId="TableGrid">
    <w:name w:val="Table Grid"/>
    <w:basedOn w:val="TableNormal"/>
    <w:uiPriority w:val="59"/>
    <w:rsid w:val="00C06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C9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97C91"/>
  </w:style>
  <w:style w:type="paragraph" w:styleId="Footer">
    <w:name w:val="footer"/>
    <w:basedOn w:val="Normal"/>
    <w:link w:val="FooterChar"/>
    <w:uiPriority w:val="99"/>
    <w:unhideWhenUsed/>
    <w:rsid w:val="00F97C9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7C91"/>
  </w:style>
  <w:style w:type="paragraph" w:customStyle="1" w:styleId="Default">
    <w:name w:val="Default"/>
    <w:rsid w:val="002354C0"/>
    <w:pPr>
      <w:autoSpaceDE w:val="0"/>
      <w:autoSpaceDN w:val="0"/>
      <w:adjustRightInd w:val="0"/>
      <w:spacing w:after="0" w:line="240" w:lineRule="auto"/>
    </w:pPr>
    <w:rPr>
      <w:rFonts w:ascii="Times New Roman" w:hAnsi="Times New Roman" w:cs="Times New Roman"/>
      <w:color w:val="000000"/>
      <w:sz w:val="24"/>
      <w:szCs w:val="24"/>
      <w:lang w:val="de-CH"/>
    </w:rPr>
  </w:style>
  <w:style w:type="character" w:styleId="Emphasis">
    <w:name w:val="Emphasis"/>
    <w:basedOn w:val="DefaultParagraphFont"/>
    <w:uiPriority w:val="20"/>
    <w:qFormat/>
    <w:rsid w:val="00063D67"/>
    <w:rPr>
      <w:i/>
      <w:iCs/>
    </w:rPr>
  </w:style>
  <w:style w:type="character" w:styleId="EndnoteReference">
    <w:name w:val="endnote reference"/>
    <w:basedOn w:val="DefaultParagraphFont"/>
    <w:uiPriority w:val="99"/>
    <w:unhideWhenUsed/>
    <w:rsid w:val="00ED7870"/>
    <w:rPr>
      <w:rFonts w:ascii="Times New Roman" w:hAnsi="Times New Roman"/>
      <w:sz w:val="20"/>
      <w:vertAlign w:val="superscript"/>
    </w:rPr>
  </w:style>
  <w:style w:type="paragraph" w:styleId="FootnoteText">
    <w:name w:val="footnote text"/>
    <w:basedOn w:val="Normal"/>
    <w:link w:val="FootnoteTextChar"/>
    <w:uiPriority w:val="99"/>
    <w:unhideWhenUsed/>
    <w:rsid w:val="006D4B61"/>
    <w:pPr>
      <w:spacing w:after="0" w:line="240" w:lineRule="auto"/>
    </w:pPr>
    <w:rPr>
      <w:sz w:val="20"/>
      <w:szCs w:val="20"/>
    </w:rPr>
  </w:style>
  <w:style w:type="character" w:customStyle="1" w:styleId="FootnoteTextChar">
    <w:name w:val="Footnote Text Char"/>
    <w:basedOn w:val="DefaultParagraphFont"/>
    <w:link w:val="FootnoteText"/>
    <w:uiPriority w:val="99"/>
    <w:rsid w:val="006D4B61"/>
    <w:rPr>
      <w:sz w:val="20"/>
      <w:szCs w:val="20"/>
    </w:rPr>
  </w:style>
  <w:style w:type="character" w:styleId="FootnoteReference">
    <w:name w:val="footnote reference"/>
    <w:basedOn w:val="DefaultParagraphFont"/>
    <w:uiPriority w:val="99"/>
    <w:semiHidden/>
    <w:unhideWhenUsed/>
    <w:rsid w:val="006D4B61"/>
    <w:rPr>
      <w:vertAlign w:val="superscript"/>
    </w:rPr>
  </w:style>
  <w:style w:type="character" w:customStyle="1" w:styleId="UnresolvedMention1">
    <w:name w:val="Unresolved Mention1"/>
    <w:basedOn w:val="DefaultParagraphFont"/>
    <w:uiPriority w:val="99"/>
    <w:semiHidden/>
    <w:unhideWhenUsed/>
    <w:rsid w:val="00507761"/>
    <w:rPr>
      <w:color w:val="808080"/>
      <w:shd w:val="clear" w:color="auto" w:fill="E6E6E6"/>
    </w:rPr>
  </w:style>
  <w:style w:type="character" w:customStyle="1" w:styleId="Heading1Char">
    <w:name w:val="Heading 1 Char"/>
    <w:basedOn w:val="DefaultParagraphFont"/>
    <w:link w:val="Heading1"/>
    <w:uiPriority w:val="9"/>
    <w:rsid w:val="00814AB5"/>
    <w:rPr>
      <w:rFonts w:ascii="Cambria" w:eastAsia="Times New Roman" w:hAnsi="Cambria" w:cs="Times New Roman"/>
      <w:b/>
      <w:bCs/>
      <w:color w:val="365F91" w:themeColor="accent1" w:themeShade="BF"/>
      <w:kern w:val="36"/>
      <w:sz w:val="28"/>
      <w:szCs w:val="48"/>
      <w:lang w:eastAsia="en-GB"/>
    </w:rPr>
  </w:style>
  <w:style w:type="paragraph" w:styleId="BodyText">
    <w:name w:val="Body Text"/>
    <w:basedOn w:val="Normal"/>
    <w:link w:val="BodyTextChar"/>
    <w:rsid w:val="007C1070"/>
    <w:pPr>
      <w:spacing w:after="240" w:line="240" w:lineRule="auto"/>
      <w:ind w:firstLine="144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7C1070"/>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8504B1"/>
    <w:rPr>
      <w:rFonts w:asciiTheme="majorHAnsi" w:eastAsiaTheme="majorEastAsia" w:hAnsiTheme="majorHAnsi" w:cstheme="majorBidi"/>
      <w:b/>
      <w:bCs/>
      <w:color w:val="4F81BD" w:themeColor="accent1"/>
      <w:sz w:val="26"/>
      <w:szCs w:val="26"/>
    </w:rPr>
  </w:style>
  <w:style w:type="table" w:customStyle="1" w:styleId="TableGrid1">
    <w:name w:val="Table Grid1"/>
    <w:basedOn w:val="TableNormal"/>
    <w:next w:val="TableGrid"/>
    <w:uiPriority w:val="59"/>
    <w:rsid w:val="008504B1"/>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CF40F9"/>
    <w:rPr>
      <w:color w:val="808080"/>
      <w:shd w:val="clear" w:color="auto" w:fill="E6E6E6"/>
    </w:rPr>
  </w:style>
  <w:style w:type="character" w:customStyle="1" w:styleId="UnresolvedMention3">
    <w:name w:val="Unresolved Mention3"/>
    <w:basedOn w:val="DefaultParagraphFont"/>
    <w:uiPriority w:val="99"/>
    <w:semiHidden/>
    <w:unhideWhenUsed/>
    <w:rsid w:val="00E70CF6"/>
    <w:rPr>
      <w:color w:val="808080"/>
      <w:shd w:val="clear" w:color="auto" w:fill="E6E6E6"/>
    </w:rPr>
  </w:style>
  <w:style w:type="character" w:customStyle="1" w:styleId="title-text">
    <w:name w:val="title-text"/>
    <w:basedOn w:val="DefaultParagraphFont"/>
    <w:rsid w:val="00E70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87523">
      <w:bodyDiv w:val="1"/>
      <w:marLeft w:val="0"/>
      <w:marRight w:val="0"/>
      <w:marTop w:val="0"/>
      <w:marBottom w:val="0"/>
      <w:divBdr>
        <w:top w:val="none" w:sz="0" w:space="0" w:color="auto"/>
        <w:left w:val="none" w:sz="0" w:space="0" w:color="auto"/>
        <w:bottom w:val="none" w:sz="0" w:space="0" w:color="auto"/>
        <w:right w:val="none" w:sz="0" w:space="0" w:color="auto"/>
      </w:divBdr>
      <w:divsChild>
        <w:div w:id="746682723">
          <w:marLeft w:val="547"/>
          <w:marRight w:val="0"/>
          <w:marTop w:val="77"/>
          <w:marBottom w:val="0"/>
          <w:divBdr>
            <w:top w:val="none" w:sz="0" w:space="0" w:color="auto"/>
            <w:left w:val="none" w:sz="0" w:space="0" w:color="auto"/>
            <w:bottom w:val="none" w:sz="0" w:space="0" w:color="auto"/>
            <w:right w:val="none" w:sz="0" w:space="0" w:color="auto"/>
          </w:divBdr>
        </w:div>
      </w:divsChild>
    </w:div>
    <w:div w:id="219564614">
      <w:bodyDiv w:val="1"/>
      <w:marLeft w:val="0"/>
      <w:marRight w:val="0"/>
      <w:marTop w:val="0"/>
      <w:marBottom w:val="0"/>
      <w:divBdr>
        <w:top w:val="none" w:sz="0" w:space="0" w:color="auto"/>
        <w:left w:val="none" w:sz="0" w:space="0" w:color="auto"/>
        <w:bottom w:val="none" w:sz="0" w:space="0" w:color="auto"/>
        <w:right w:val="none" w:sz="0" w:space="0" w:color="auto"/>
      </w:divBdr>
      <w:divsChild>
        <w:div w:id="1346634722">
          <w:marLeft w:val="274"/>
          <w:marRight w:val="0"/>
          <w:marTop w:val="150"/>
          <w:marBottom w:val="30"/>
          <w:divBdr>
            <w:top w:val="none" w:sz="0" w:space="0" w:color="auto"/>
            <w:left w:val="none" w:sz="0" w:space="0" w:color="auto"/>
            <w:bottom w:val="none" w:sz="0" w:space="0" w:color="auto"/>
            <w:right w:val="none" w:sz="0" w:space="0" w:color="auto"/>
          </w:divBdr>
        </w:div>
      </w:divsChild>
    </w:div>
    <w:div w:id="314070247">
      <w:bodyDiv w:val="1"/>
      <w:marLeft w:val="0"/>
      <w:marRight w:val="0"/>
      <w:marTop w:val="0"/>
      <w:marBottom w:val="0"/>
      <w:divBdr>
        <w:top w:val="none" w:sz="0" w:space="0" w:color="auto"/>
        <w:left w:val="none" w:sz="0" w:space="0" w:color="auto"/>
        <w:bottom w:val="none" w:sz="0" w:space="0" w:color="auto"/>
        <w:right w:val="none" w:sz="0" w:space="0" w:color="auto"/>
      </w:divBdr>
      <w:divsChild>
        <w:div w:id="1880704632">
          <w:marLeft w:val="360"/>
          <w:marRight w:val="0"/>
          <w:marTop w:val="0"/>
          <w:marBottom w:val="0"/>
          <w:divBdr>
            <w:top w:val="none" w:sz="0" w:space="0" w:color="auto"/>
            <w:left w:val="none" w:sz="0" w:space="0" w:color="auto"/>
            <w:bottom w:val="none" w:sz="0" w:space="0" w:color="auto"/>
            <w:right w:val="none" w:sz="0" w:space="0" w:color="auto"/>
          </w:divBdr>
        </w:div>
      </w:divsChild>
    </w:div>
    <w:div w:id="322322251">
      <w:bodyDiv w:val="1"/>
      <w:marLeft w:val="0"/>
      <w:marRight w:val="0"/>
      <w:marTop w:val="0"/>
      <w:marBottom w:val="0"/>
      <w:divBdr>
        <w:top w:val="none" w:sz="0" w:space="0" w:color="auto"/>
        <w:left w:val="none" w:sz="0" w:space="0" w:color="auto"/>
        <w:bottom w:val="none" w:sz="0" w:space="0" w:color="auto"/>
        <w:right w:val="none" w:sz="0" w:space="0" w:color="auto"/>
      </w:divBdr>
    </w:div>
    <w:div w:id="337658107">
      <w:bodyDiv w:val="1"/>
      <w:marLeft w:val="0"/>
      <w:marRight w:val="0"/>
      <w:marTop w:val="0"/>
      <w:marBottom w:val="0"/>
      <w:divBdr>
        <w:top w:val="none" w:sz="0" w:space="0" w:color="auto"/>
        <w:left w:val="none" w:sz="0" w:space="0" w:color="auto"/>
        <w:bottom w:val="none" w:sz="0" w:space="0" w:color="auto"/>
        <w:right w:val="none" w:sz="0" w:space="0" w:color="auto"/>
      </w:divBdr>
    </w:div>
    <w:div w:id="377168225">
      <w:bodyDiv w:val="1"/>
      <w:marLeft w:val="0"/>
      <w:marRight w:val="0"/>
      <w:marTop w:val="0"/>
      <w:marBottom w:val="0"/>
      <w:divBdr>
        <w:top w:val="none" w:sz="0" w:space="0" w:color="auto"/>
        <w:left w:val="none" w:sz="0" w:space="0" w:color="auto"/>
        <w:bottom w:val="none" w:sz="0" w:space="0" w:color="auto"/>
        <w:right w:val="none" w:sz="0" w:space="0" w:color="auto"/>
      </w:divBdr>
      <w:divsChild>
        <w:div w:id="2070155089">
          <w:marLeft w:val="0"/>
          <w:marRight w:val="0"/>
          <w:marTop w:val="0"/>
          <w:marBottom w:val="0"/>
          <w:divBdr>
            <w:top w:val="none" w:sz="0" w:space="0" w:color="auto"/>
            <w:left w:val="none" w:sz="0" w:space="0" w:color="auto"/>
            <w:bottom w:val="none" w:sz="0" w:space="0" w:color="auto"/>
            <w:right w:val="none" w:sz="0" w:space="0" w:color="auto"/>
          </w:divBdr>
        </w:div>
      </w:divsChild>
    </w:div>
    <w:div w:id="459614706">
      <w:bodyDiv w:val="1"/>
      <w:marLeft w:val="0"/>
      <w:marRight w:val="0"/>
      <w:marTop w:val="0"/>
      <w:marBottom w:val="0"/>
      <w:divBdr>
        <w:top w:val="none" w:sz="0" w:space="0" w:color="auto"/>
        <w:left w:val="none" w:sz="0" w:space="0" w:color="auto"/>
        <w:bottom w:val="none" w:sz="0" w:space="0" w:color="auto"/>
        <w:right w:val="none" w:sz="0" w:space="0" w:color="auto"/>
      </w:divBdr>
    </w:div>
    <w:div w:id="509375049">
      <w:bodyDiv w:val="1"/>
      <w:marLeft w:val="0"/>
      <w:marRight w:val="0"/>
      <w:marTop w:val="0"/>
      <w:marBottom w:val="0"/>
      <w:divBdr>
        <w:top w:val="none" w:sz="0" w:space="0" w:color="auto"/>
        <w:left w:val="none" w:sz="0" w:space="0" w:color="auto"/>
        <w:bottom w:val="none" w:sz="0" w:space="0" w:color="auto"/>
        <w:right w:val="none" w:sz="0" w:space="0" w:color="auto"/>
      </w:divBdr>
    </w:div>
    <w:div w:id="510602401">
      <w:bodyDiv w:val="1"/>
      <w:marLeft w:val="0"/>
      <w:marRight w:val="0"/>
      <w:marTop w:val="0"/>
      <w:marBottom w:val="0"/>
      <w:divBdr>
        <w:top w:val="none" w:sz="0" w:space="0" w:color="auto"/>
        <w:left w:val="none" w:sz="0" w:space="0" w:color="auto"/>
        <w:bottom w:val="none" w:sz="0" w:space="0" w:color="auto"/>
        <w:right w:val="none" w:sz="0" w:space="0" w:color="auto"/>
      </w:divBdr>
      <w:divsChild>
        <w:div w:id="858813096">
          <w:marLeft w:val="504"/>
          <w:marRight w:val="0"/>
          <w:marTop w:val="0"/>
          <w:marBottom w:val="0"/>
          <w:divBdr>
            <w:top w:val="none" w:sz="0" w:space="0" w:color="auto"/>
            <w:left w:val="none" w:sz="0" w:space="0" w:color="auto"/>
            <w:bottom w:val="none" w:sz="0" w:space="0" w:color="auto"/>
            <w:right w:val="none" w:sz="0" w:space="0" w:color="auto"/>
          </w:divBdr>
        </w:div>
        <w:div w:id="1005210853">
          <w:marLeft w:val="504"/>
          <w:marRight w:val="0"/>
          <w:marTop w:val="0"/>
          <w:marBottom w:val="0"/>
          <w:divBdr>
            <w:top w:val="none" w:sz="0" w:space="0" w:color="auto"/>
            <w:left w:val="none" w:sz="0" w:space="0" w:color="auto"/>
            <w:bottom w:val="none" w:sz="0" w:space="0" w:color="auto"/>
            <w:right w:val="none" w:sz="0" w:space="0" w:color="auto"/>
          </w:divBdr>
        </w:div>
      </w:divsChild>
    </w:div>
    <w:div w:id="542866035">
      <w:bodyDiv w:val="1"/>
      <w:marLeft w:val="0"/>
      <w:marRight w:val="0"/>
      <w:marTop w:val="0"/>
      <w:marBottom w:val="0"/>
      <w:divBdr>
        <w:top w:val="none" w:sz="0" w:space="0" w:color="auto"/>
        <w:left w:val="none" w:sz="0" w:space="0" w:color="auto"/>
        <w:bottom w:val="none" w:sz="0" w:space="0" w:color="auto"/>
        <w:right w:val="none" w:sz="0" w:space="0" w:color="auto"/>
      </w:divBdr>
    </w:div>
    <w:div w:id="552929274">
      <w:bodyDiv w:val="1"/>
      <w:marLeft w:val="0"/>
      <w:marRight w:val="0"/>
      <w:marTop w:val="0"/>
      <w:marBottom w:val="0"/>
      <w:divBdr>
        <w:top w:val="none" w:sz="0" w:space="0" w:color="auto"/>
        <w:left w:val="none" w:sz="0" w:space="0" w:color="auto"/>
        <w:bottom w:val="none" w:sz="0" w:space="0" w:color="auto"/>
        <w:right w:val="none" w:sz="0" w:space="0" w:color="auto"/>
      </w:divBdr>
    </w:div>
    <w:div w:id="583225358">
      <w:bodyDiv w:val="1"/>
      <w:marLeft w:val="0"/>
      <w:marRight w:val="0"/>
      <w:marTop w:val="0"/>
      <w:marBottom w:val="0"/>
      <w:divBdr>
        <w:top w:val="none" w:sz="0" w:space="0" w:color="auto"/>
        <w:left w:val="none" w:sz="0" w:space="0" w:color="auto"/>
        <w:bottom w:val="none" w:sz="0" w:space="0" w:color="auto"/>
        <w:right w:val="none" w:sz="0" w:space="0" w:color="auto"/>
      </w:divBdr>
    </w:div>
    <w:div w:id="732701019">
      <w:bodyDiv w:val="1"/>
      <w:marLeft w:val="0"/>
      <w:marRight w:val="0"/>
      <w:marTop w:val="0"/>
      <w:marBottom w:val="0"/>
      <w:divBdr>
        <w:top w:val="none" w:sz="0" w:space="0" w:color="auto"/>
        <w:left w:val="none" w:sz="0" w:space="0" w:color="auto"/>
        <w:bottom w:val="none" w:sz="0" w:space="0" w:color="auto"/>
        <w:right w:val="none" w:sz="0" w:space="0" w:color="auto"/>
      </w:divBdr>
    </w:div>
    <w:div w:id="787428731">
      <w:bodyDiv w:val="1"/>
      <w:marLeft w:val="0"/>
      <w:marRight w:val="0"/>
      <w:marTop w:val="0"/>
      <w:marBottom w:val="0"/>
      <w:divBdr>
        <w:top w:val="none" w:sz="0" w:space="0" w:color="auto"/>
        <w:left w:val="none" w:sz="0" w:space="0" w:color="auto"/>
        <w:bottom w:val="none" w:sz="0" w:space="0" w:color="auto"/>
        <w:right w:val="none" w:sz="0" w:space="0" w:color="auto"/>
      </w:divBdr>
      <w:divsChild>
        <w:div w:id="188182005">
          <w:marLeft w:val="1440"/>
          <w:marRight w:val="0"/>
          <w:marTop w:val="0"/>
          <w:marBottom w:val="0"/>
          <w:divBdr>
            <w:top w:val="none" w:sz="0" w:space="0" w:color="auto"/>
            <w:left w:val="none" w:sz="0" w:space="0" w:color="auto"/>
            <w:bottom w:val="none" w:sz="0" w:space="0" w:color="auto"/>
            <w:right w:val="none" w:sz="0" w:space="0" w:color="auto"/>
          </w:divBdr>
        </w:div>
        <w:div w:id="380053961">
          <w:marLeft w:val="1440"/>
          <w:marRight w:val="0"/>
          <w:marTop w:val="0"/>
          <w:marBottom w:val="0"/>
          <w:divBdr>
            <w:top w:val="none" w:sz="0" w:space="0" w:color="auto"/>
            <w:left w:val="none" w:sz="0" w:space="0" w:color="auto"/>
            <w:bottom w:val="none" w:sz="0" w:space="0" w:color="auto"/>
            <w:right w:val="none" w:sz="0" w:space="0" w:color="auto"/>
          </w:divBdr>
        </w:div>
        <w:div w:id="1094938253">
          <w:marLeft w:val="1440"/>
          <w:marRight w:val="0"/>
          <w:marTop w:val="0"/>
          <w:marBottom w:val="0"/>
          <w:divBdr>
            <w:top w:val="none" w:sz="0" w:space="0" w:color="auto"/>
            <w:left w:val="none" w:sz="0" w:space="0" w:color="auto"/>
            <w:bottom w:val="none" w:sz="0" w:space="0" w:color="auto"/>
            <w:right w:val="none" w:sz="0" w:space="0" w:color="auto"/>
          </w:divBdr>
        </w:div>
      </w:divsChild>
    </w:div>
    <w:div w:id="822967397">
      <w:bodyDiv w:val="1"/>
      <w:marLeft w:val="0"/>
      <w:marRight w:val="0"/>
      <w:marTop w:val="0"/>
      <w:marBottom w:val="0"/>
      <w:divBdr>
        <w:top w:val="none" w:sz="0" w:space="0" w:color="auto"/>
        <w:left w:val="none" w:sz="0" w:space="0" w:color="auto"/>
        <w:bottom w:val="none" w:sz="0" w:space="0" w:color="auto"/>
        <w:right w:val="none" w:sz="0" w:space="0" w:color="auto"/>
      </w:divBdr>
      <w:divsChild>
        <w:div w:id="1890529588">
          <w:marLeft w:val="0"/>
          <w:marRight w:val="0"/>
          <w:marTop w:val="0"/>
          <w:marBottom w:val="0"/>
          <w:divBdr>
            <w:top w:val="none" w:sz="0" w:space="0" w:color="auto"/>
            <w:left w:val="none" w:sz="0" w:space="0" w:color="auto"/>
            <w:bottom w:val="none" w:sz="0" w:space="0" w:color="auto"/>
            <w:right w:val="none" w:sz="0" w:space="0" w:color="auto"/>
          </w:divBdr>
        </w:div>
        <w:div w:id="468519314">
          <w:marLeft w:val="0"/>
          <w:marRight w:val="0"/>
          <w:marTop w:val="0"/>
          <w:marBottom w:val="0"/>
          <w:divBdr>
            <w:top w:val="none" w:sz="0" w:space="0" w:color="auto"/>
            <w:left w:val="none" w:sz="0" w:space="0" w:color="auto"/>
            <w:bottom w:val="none" w:sz="0" w:space="0" w:color="auto"/>
            <w:right w:val="none" w:sz="0" w:space="0" w:color="auto"/>
          </w:divBdr>
        </w:div>
        <w:div w:id="573047460">
          <w:marLeft w:val="0"/>
          <w:marRight w:val="0"/>
          <w:marTop w:val="0"/>
          <w:marBottom w:val="0"/>
          <w:divBdr>
            <w:top w:val="none" w:sz="0" w:space="0" w:color="auto"/>
            <w:left w:val="none" w:sz="0" w:space="0" w:color="auto"/>
            <w:bottom w:val="none" w:sz="0" w:space="0" w:color="auto"/>
            <w:right w:val="none" w:sz="0" w:space="0" w:color="auto"/>
          </w:divBdr>
        </w:div>
        <w:div w:id="1171217192">
          <w:marLeft w:val="0"/>
          <w:marRight w:val="0"/>
          <w:marTop w:val="0"/>
          <w:marBottom w:val="0"/>
          <w:divBdr>
            <w:top w:val="none" w:sz="0" w:space="0" w:color="auto"/>
            <w:left w:val="none" w:sz="0" w:space="0" w:color="auto"/>
            <w:bottom w:val="none" w:sz="0" w:space="0" w:color="auto"/>
            <w:right w:val="none" w:sz="0" w:space="0" w:color="auto"/>
          </w:divBdr>
        </w:div>
        <w:div w:id="680663840">
          <w:marLeft w:val="0"/>
          <w:marRight w:val="0"/>
          <w:marTop w:val="0"/>
          <w:marBottom w:val="0"/>
          <w:divBdr>
            <w:top w:val="none" w:sz="0" w:space="0" w:color="auto"/>
            <w:left w:val="none" w:sz="0" w:space="0" w:color="auto"/>
            <w:bottom w:val="none" w:sz="0" w:space="0" w:color="auto"/>
            <w:right w:val="none" w:sz="0" w:space="0" w:color="auto"/>
          </w:divBdr>
        </w:div>
      </w:divsChild>
    </w:div>
    <w:div w:id="867376338">
      <w:bodyDiv w:val="1"/>
      <w:marLeft w:val="0"/>
      <w:marRight w:val="0"/>
      <w:marTop w:val="0"/>
      <w:marBottom w:val="0"/>
      <w:divBdr>
        <w:top w:val="none" w:sz="0" w:space="0" w:color="auto"/>
        <w:left w:val="none" w:sz="0" w:space="0" w:color="auto"/>
        <w:bottom w:val="none" w:sz="0" w:space="0" w:color="auto"/>
        <w:right w:val="none" w:sz="0" w:space="0" w:color="auto"/>
      </w:divBdr>
    </w:div>
    <w:div w:id="899172453">
      <w:bodyDiv w:val="1"/>
      <w:marLeft w:val="0"/>
      <w:marRight w:val="0"/>
      <w:marTop w:val="0"/>
      <w:marBottom w:val="0"/>
      <w:divBdr>
        <w:top w:val="none" w:sz="0" w:space="0" w:color="auto"/>
        <w:left w:val="none" w:sz="0" w:space="0" w:color="auto"/>
        <w:bottom w:val="none" w:sz="0" w:space="0" w:color="auto"/>
        <w:right w:val="none" w:sz="0" w:space="0" w:color="auto"/>
      </w:divBdr>
      <w:divsChild>
        <w:div w:id="353308099">
          <w:marLeft w:val="547"/>
          <w:marRight w:val="0"/>
          <w:marTop w:val="77"/>
          <w:marBottom w:val="0"/>
          <w:divBdr>
            <w:top w:val="none" w:sz="0" w:space="0" w:color="auto"/>
            <w:left w:val="none" w:sz="0" w:space="0" w:color="auto"/>
            <w:bottom w:val="none" w:sz="0" w:space="0" w:color="auto"/>
            <w:right w:val="none" w:sz="0" w:space="0" w:color="auto"/>
          </w:divBdr>
        </w:div>
        <w:div w:id="1948464450">
          <w:marLeft w:val="547"/>
          <w:marRight w:val="0"/>
          <w:marTop w:val="77"/>
          <w:marBottom w:val="0"/>
          <w:divBdr>
            <w:top w:val="none" w:sz="0" w:space="0" w:color="auto"/>
            <w:left w:val="none" w:sz="0" w:space="0" w:color="auto"/>
            <w:bottom w:val="none" w:sz="0" w:space="0" w:color="auto"/>
            <w:right w:val="none" w:sz="0" w:space="0" w:color="auto"/>
          </w:divBdr>
        </w:div>
      </w:divsChild>
    </w:div>
    <w:div w:id="1056201821">
      <w:bodyDiv w:val="1"/>
      <w:marLeft w:val="0"/>
      <w:marRight w:val="0"/>
      <w:marTop w:val="0"/>
      <w:marBottom w:val="0"/>
      <w:divBdr>
        <w:top w:val="none" w:sz="0" w:space="0" w:color="auto"/>
        <w:left w:val="none" w:sz="0" w:space="0" w:color="auto"/>
        <w:bottom w:val="none" w:sz="0" w:space="0" w:color="auto"/>
        <w:right w:val="none" w:sz="0" w:space="0" w:color="auto"/>
      </w:divBdr>
    </w:div>
    <w:div w:id="1072314591">
      <w:bodyDiv w:val="1"/>
      <w:marLeft w:val="0"/>
      <w:marRight w:val="0"/>
      <w:marTop w:val="0"/>
      <w:marBottom w:val="0"/>
      <w:divBdr>
        <w:top w:val="none" w:sz="0" w:space="0" w:color="auto"/>
        <w:left w:val="none" w:sz="0" w:space="0" w:color="auto"/>
        <w:bottom w:val="none" w:sz="0" w:space="0" w:color="auto"/>
        <w:right w:val="none" w:sz="0" w:space="0" w:color="auto"/>
      </w:divBdr>
    </w:div>
    <w:div w:id="1117681530">
      <w:bodyDiv w:val="1"/>
      <w:marLeft w:val="0"/>
      <w:marRight w:val="0"/>
      <w:marTop w:val="0"/>
      <w:marBottom w:val="0"/>
      <w:divBdr>
        <w:top w:val="none" w:sz="0" w:space="0" w:color="auto"/>
        <w:left w:val="none" w:sz="0" w:space="0" w:color="auto"/>
        <w:bottom w:val="none" w:sz="0" w:space="0" w:color="auto"/>
        <w:right w:val="none" w:sz="0" w:space="0" w:color="auto"/>
      </w:divBdr>
    </w:div>
    <w:div w:id="1133906441">
      <w:bodyDiv w:val="1"/>
      <w:marLeft w:val="0"/>
      <w:marRight w:val="0"/>
      <w:marTop w:val="0"/>
      <w:marBottom w:val="0"/>
      <w:divBdr>
        <w:top w:val="none" w:sz="0" w:space="0" w:color="auto"/>
        <w:left w:val="none" w:sz="0" w:space="0" w:color="auto"/>
        <w:bottom w:val="none" w:sz="0" w:space="0" w:color="auto"/>
        <w:right w:val="none" w:sz="0" w:space="0" w:color="auto"/>
      </w:divBdr>
    </w:div>
    <w:div w:id="1226452982">
      <w:bodyDiv w:val="1"/>
      <w:marLeft w:val="0"/>
      <w:marRight w:val="0"/>
      <w:marTop w:val="0"/>
      <w:marBottom w:val="0"/>
      <w:divBdr>
        <w:top w:val="none" w:sz="0" w:space="0" w:color="auto"/>
        <w:left w:val="none" w:sz="0" w:space="0" w:color="auto"/>
        <w:bottom w:val="none" w:sz="0" w:space="0" w:color="auto"/>
        <w:right w:val="none" w:sz="0" w:space="0" w:color="auto"/>
      </w:divBdr>
    </w:div>
    <w:div w:id="1296642057">
      <w:bodyDiv w:val="1"/>
      <w:marLeft w:val="0"/>
      <w:marRight w:val="0"/>
      <w:marTop w:val="0"/>
      <w:marBottom w:val="0"/>
      <w:divBdr>
        <w:top w:val="none" w:sz="0" w:space="0" w:color="auto"/>
        <w:left w:val="none" w:sz="0" w:space="0" w:color="auto"/>
        <w:bottom w:val="none" w:sz="0" w:space="0" w:color="auto"/>
        <w:right w:val="none" w:sz="0" w:space="0" w:color="auto"/>
      </w:divBdr>
    </w:div>
    <w:div w:id="1301303912">
      <w:bodyDiv w:val="1"/>
      <w:marLeft w:val="0"/>
      <w:marRight w:val="0"/>
      <w:marTop w:val="0"/>
      <w:marBottom w:val="0"/>
      <w:divBdr>
        <w:top w:val="none" w:sz="0" w:space="0" w:color="auto"/>
        <w:left w:val="none" w:sz="0" w:space="0" w:color="auto"/>
        <w:bottom w:val="none" w:sz="0" w:space="0" w:color="auto"/>
        <w:right w:val="none" w:sz="0" w:space="0" w:color="auto"/>
      </w:divBdr>
    </w:div>
    <w:div w:id="1332102660">
      <w:bodyDiv w:val="1"/>
      <w:marLeft w:val="0"/>
      <w:marRight w:val="0"/>
      <w:marTop w:val="0"/>
      <w:marBottom w:val="0"/>
      <w:divBdr>
        <w:top w:val="none" w:sz="0" w:space="0" w:color="auto"/>
        <w:left w:val="none" w:sz="0" w:space="0" w:color="auto"/>
        <w:bottom w:val="none" w:sz="0" w:space="0" w:color="auto"/>
        <w:right w:val="none" w:sz="0" w:space="0" w:color="auto"/>
      </w:divBdr>
      <w:divsChild>
        <w:div w:id="1070348407">
          <w:marLeft w:val="274"/>
          <w:marRight w:val="0"/>
          <w:marTop w:val="0"/>
          <w:marBottom w:val="0"/>
          <w:divBdr>
            <w:top w:val="none" w:sz="0" w:space="0" w:color="auto"/>
            <w:left w:val="none" w:sz="0" w:space="0" w:color="auto"/>
            <w:bottom w:val="none" w:sz="0" w:space="0" w:color="auto"/>
            <w:right w:val="none" w:sz="0" w:space="0" w:color="auto"/>
          </w:divBdr>
        </w:div>
        <w:div w:id="1658535506">
          <w:marLeft w:val="274"/>
          <w:marRight w:val="0"/>
          <w:marTop w:val="0"/>
          <w:marBottom w:val="0"/>
          <w:divBdr>
            <w:top w:val="none" w:sz="0" w:space="0" w:color="auto"/>
            <w:left w:val="none" w:sz="0" w:space="0" w:color="auto"/>
            <w:bottom w:val="none" w:sz="0" w:space="0" w:color="auto"/>
            <w:right w:val="none" w:sz="0" w:space="0" w:color="auto"/>
          </w:divBdr>
        </w:div>
        <w:div w:id="1906260808">
          <w:marLeft w:val="274"/>
          <w:marRight w:val="0"/>
          <w:marTop w:val="0"/>
          <w:marBottom w:val="0"/>
          <w:divBdr>
            <w:top w:val="none" w:sz="0" w:space="0" w:color="auto"/>
            <w:left w:val="none" w:sz="0" w:space="0" w:color="auto"/>
            <w:bottom w:val="none" w:sz="0" w:space="0" w:color="auto"/>
            <w:right w:val="none" w:sz="0" w:space="0" w:color="auto"/>
          </w:divBdr>
        </w:div>
      </w:divsChild>
    </w:div>
    <w:div w:id="1346008289">
      <w:bodyDiv w:val="1"/>
      <w:marLeft w:val="0"/>
      <w:marRight w:val="0"/>
      <w:marTop w:val="0"/>
      <w:marBottom w:val="0"/>
      <w:divBdr>
        <w:top w:val="none" w:sz="0" w:space="0" w:color="auto"/>
        <w:left w:val="none" w:sz="0" w:space="0" w:color="auto"/>
        <w:bottom w:val="none" w:sz="0" w:space="0" w:color="auto"/>
        <w:right w:val="none" w:sz="0" w:space="0" w:color="auto"/>
      </w:divBdr>
    </w:div>
    <w:div w:id="1424569858">
      <w:bodyDiv w:val="1"/>
      <w:marLeft w:val="0"/>
      <w:marRight w:val="0"/>
      <w:marTop w:val="0"/>
      <w:marBottom w:val="0"/>
      <w:divBdr>
        <w:top w:val="none" w:sz="0" w:space="0" w:color="auto"/>
        <w:left w:val="none" w:sz="0" w:space="0" w:color="auto"/>
        <w:bottom w:val="none" w:sz="0" w:space="0" w:color="auto"/>
        <w:right w:val="none" w:sz="0" w:space="0" w:color="auto"/>
      </w:divBdr>
    </w:div>
    <w:div w:id="1534268348">
      <w:bodyDiv w:val="1"/>
      <w:marLeft w:val="0"/>
      <w:marRight w:val="0"/>
      <w:marTop w:val="0"/>
      <w:marBottom w:val="0"/>
      <w:divBdr>
        <w:top w:val="none" w:sz="0" w:space="0" w:color="auto"/>
        <w:left w:val="none" w:sz="0" w:space="0" w:color="auto"/>
        <w:bottom w:val="none" w:sz="0" w:space="0" w:color="auto"/>
        <w:right w:val="none" w:sz="0" w:space="0" w:color="auto"/>
      </w:divBdr>
    </w:div>
    <w:div w:id="1584410043">
      <w:bodyDiv w:val="1"/>
      <w:marLeft w:val="0"/>
      <w:marRight w:val="0"/>
      <w:marTop w:val="0"/>
      <w:marBottom w:val="0"/>
      <w:divBdr>
        <w:top w:val="none" w:sz="0" w:space="0" w:color="auto"/>
        <w:left w:val="none" w:sz="0" w:space="0" w:color="auto"/>
        <w:bottom w:val="none" w:sz="0" w:space="0" w:color="auto"/>
        <w:right w:val="none" w:sz="0" w:space="0" w:color="auto"/>
      </w:divBdr>
    </w:div>
    <w:div w:id="1585649299">
      <w:bodyDiv w:val="1"/>
      <w:marLeft w:val="0"/>
      <w:marRight w:val="0"/>
      <w:marTop w:val="0"/>
      <w:marBottom w:val="0"/>
      <w:divBdr>
        <w:top w:val="none" w:sz="0" w:space="0" w:color="auto"/>
        <w:left w:val="none" w:sz="0" w:space="0" w:color="auto"/>
        <w:bottom w:val="none" w:sz="0" w:space="0" w:color="auto"/>
        <w:right w:val="none" w:sz="0" w:space="0" w:color="auto"/>
      </w:divBdr>
    </w:div>
    <w:div w:id="1691754938">
      <w:bodyDiv w:val="1"/>
      <w:marLeft w:val="0"/>
      <w:marRight w:val="0"/>
      <w:marTop w:val="0"/>
      <w:marBottom w:val="0"/>
      <w:divBdr>
        <w:top w:val="none" w:sz="0" w:space="0" w:color="auto"/>
        <w:left w:val="none" w:sz="0" w:space="0" w:color="auto"/>
        <w:bottom w:val="none" w:sz="0" w:space="0" w:color="auto"/>
        <w:right w:val="none" w:sz="0" w:space="0" w:color="auto"/>
      </w:divBdr>
      <w:divsChild>
        <w:div w:id="1216742900">
          <w:marLeft w:val="1440"/>
          <w:marRight w:val="0"/>
          <w:marTop w:val="77"/>
          <w:marBottom w:val="0"/>
          <w:divBdr>
            <w:top w:val="none" w:sz="0" w:space="0" w:color="auto"/>
            <w:left w:val="none" w:sz="0" w:space="0" w:color="auto"/>
            <w:bottom w:val="none" w:sz="0" w:space="0" w:color="auto"/>
            <w:right w:val="none" w:sz="0" w:space="0" w:color="auto"/>
          </w:divBdr>
        </w:div>
      </w:divsChild>
    </w:div>
    <w:div w:id="1765344162">
      <w:bodyDiv w:val="1"/>
      <w:marLeft w:val="0"/>
      <w:marRight w:val="0"/>
      <w:marTop w:val="0"/>
      <w:marBottom w:val="0"/>
      <w:divBdr>
        <w:top w:val="none" w:sz="0" w:space="0" w:color="auto"/>
        <w:left w:val="none" w:sz="0" w:space="0" w:color="auto"/>
        <w:bottom w:val="none" w:sz="0" w:space="0" w:color="auto"/>
        <w:right w:val="none" w:sz="0" w:space="0" w:color="auto"/>
      </w:divBdr>
    </w:div>
    <w:div w:id="1903783818">
      <w:bodyDiv w:val="1"/>
      <w:marLeft w:val="0"/>
      <w:marRight w:val="0"/>
      <w:marTop w:val="0"/>
      <w:marBottom w:val="0"/>
      <w:divBdr>
        <w:top w:val="none" w:sz="0" w:space="0" w:color="auto"/>
        <w:left w:val="none" w:sz="0" w:space="0" w:color="auto"/>
        <w:bottom w:val="none" w:sz="0" w:space="0" w:color="auto"/>
        <w:right w:val="none" w:sz="0" w:space="0" w:color="auto"/>
      </w:divBdr>
    </w:div>
    <w:div w:id="1998724720">
      <w:bodyDiv w:val="1"/>
      <w:marLeft w:val="0"/>
      <w:marRight w:val="0"/>
      <w:marTop w:val="0"/>
      <w:marBottom w:val="0"/>
      <w:divBdr>
        <w:top w:val="none" w:sz="0" w:space="0" w:color="auto"/>
        <w:left w:val="none" w:sz="0" w:space="0" w:color="auto"/>
        <w:bottom w:val="none" w:sz="0" w:space="0" w:color="auto"/>
        <w:right w:val="none" w:sz="0" w:space="0" w:color="auto"/>
      </w:divBdr>
      <w:divsChild>
        <w:div w:id="1174078157">
          <w:marLeft w:val="1728"/>
          <w:marRight w:val="0"/>
          <w:marTop w:val="0"/>
          <w:marBottom w:val="0"/>
          <w:divBdr>
            <w:top w:val="none" w:sz="0" w:space="0" w:color="auto"/>
            <w:left w:val="none" w:sz="0" w:space="0" w:color="auto"/>
            <w:bottom w:val="none" w:sz="0" w:space="0" w:color="auto"/>
            <w:right w:val="none" w:sz="0" w:space="0" w:color="auto"/>
          </w:divBdr>
        </w:div>
      </w:divsChild>
    </w:div>
    <w:div w:id="208217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fpia.eu/media/288592/white-paper-on-reliance-and-expedited-registration-pathways-in-emerging-markets.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8" Type="http://schemas.openxmlformats.org/officeDocument/2006/relationships/hyperlink" Target="https://www.sciencedirect.com/science/article/pii/S1359644612003030" TargetMode="External"/><Relationship Id="rId13" Type="http://schemas.openxmlformats.org/officeDocument/2006/relationships/hyperlink" Target="https://www.efpia.eu/media/288592/white-paper-on-reliance-and-expedited-registration-pathways-in-emerging-markets.docx" TargetMode="External"/><Relationship Id="rId3" Type="http://schemas.openxmlformats.org/officeDocument/2006/relationships/hyperlink" Target="https://www.ema.europa.eu/documents/other/orphan-medicines-figures-2000-2017_en.pdf" TargetMode="External"/><Relationship Id="rId7" Type="http://schemas.openxmlformats.org/officeDocument/2006/relationships/hyperlink" Target="https://www.fda.gov/downloads/ForIndustry/DevelopingProductsforRareDiseasesConditions/UCM581335.pdf" TargetMode="External"/><Relationship Id="rId12" Type="http://schemas.openxmlformats.org/officeDocument/2006/relationships/hyperlink" Target="https://ojrd.biomedcentral.com/articles/10.1186/s13023-015-0251-8" TargetMode="External"/><Relationship Id="rId2" Type="http://schemas.openxmlformats.org/officeDocument/2006/relationships/hyperlink" Target="https://www.fda.gov/ForIndustry/DevelopingProductsforRareDiseasesConditions/HowtoapplyforOrphanProductDesignation/ucm267378.htm" TargetMode="External"/><Relationship Id="rId1" Type="http://schemas.openxmlformats.org/officeDocument/2006/relationships/hyperlink" Target="https://www.accessdata.fda.gov/scripts/opdlisting/oopd/index.cfm" TargetMode="External"/><Relationship Id="rId6" Type="http://schemas.openxmlformats.org/officeDocument/2006/relationships/hyperlink" Target="https://www.accessdata.fda.gov/scripts/fdatrack/view/track.cfm?program=osmp&amp;id=OSMP-OOPD-Number-orphan-drug-designations-resulted-in-orphan-designation" TargetMode="External"/><Relationship Id="rId11" Type="http://schemas.openxmlformats.org/officeDocument/2006/relationships/hyperlink" Target="http://uscode.house.gov/view.xhtml?req=granuleid:USC-prelim-title21-section360bb&amp;num=0&amp;edition=prelim" TargetMode="External"/><Relationship Id="rId5" Type="http://schemas.openxmlformats.org/officeDocument/2006/relationships/hyperlink" Target="http://www.nibiohn.go.jp/nibio/part/promote/files/h2705kisyoiyaku-hyo1_english.pdf" TargetMode="External"/><Relationship Id="rId10" Type="http://schemas.openxmlformats.org/officeDocument/2006/relationships/hyperlink" Target="https://www.fda.gov/downloads/Drugs/Guidances/UCM358301.pdf" TargetMode="External"/><Relationship Id="rId4" Type="http://schemas.openxmlformats.org/officeDocument/2006/relationships/hyperlink" Target="http://www.nibiohn.go.jp/en/activities/orphan-support.html" TargetMode="External"/><Relationship Id="rId9" Type="http://schemas.openxmlformats.org/officeDocument/2006/relationships/hyperlink" Target="https://www.accessdata.fda.gov/scripts/cdrh/cfdocs/cfcfr/CFRSearch.cfm?fr=312.300"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8B1DD040CEE44DB0E16866A175B3F9" ma:contentTypeVersion="1" ma:contentTypeDescription="Create a new document." ma:contentTypeScope="" ma:versionID="d0a05eab4e8c533e857ddf8fd1749ef7">
  <xsd:schema xmlns:xsd="http://www.w3.org/2001/XMLSchema" xmlns:xs="http://www.w3.org/2001/XMLSchema" xmlns:p="http://schemas.microsoft.com/office/2006/metadata/properties" xmlns:ns1="http://schemas.microsoft.com/sharepoint/v3" xmlns:ns2="80760efa-947c-40de-95ec-62142cf93892" xmlns:ns3="f191ad30-9ade-4f0c-b78e-cf30469879ae" targetNamespace="http://schemas.microsoft.com/office/2006/metadata/properties" ma:root="true" ma:fieldsID="e815e8601457b2ff2fefc22c15d10dd9" ns1:_="" ns2:_="" ns3:_="">
    <xsd:import namespace="http://schemas.microsoft.com/sharepoint/v3"/>
    <xsd:import namespace="80760efa-947c-40de-95ec-62142cf93892"/>
    <xsd:import namespace="f191ad30-9ade-4f0c-b78e-cf30469879ae"/>
    <xsd:element name="properties">
      <xsd:complexType>
        <xsd:sequence>
          <xsd:element name="documentManagement">
            <xsd:complexType>
              <xsd:all>
                <xsd:element ref="ns1:AverageRating" minOccurs="0"/>
                <xsd:element ref="ns1:RatingCount" minOccurs="0"/>
                <xsd:element ref="ns2:TaxKeywordTaxHTField" minOccurs="0"/>
                <xsd:element ref="ns3:TaxCatchAll" minOccurs="0"/>
                <xsd:element ref="ns1:_dlc_ExpireDateSaved" minOccurs="0"/>
                <xsd:element ref="ns1:_dlc_ExpireDate" minOccurs="0"/>
                <xsd:element ref="ns1:_dlc_Exempt" minOccurs="0"/>
                <xsd:element ref="ns1:PublishingStartDate" minOccurs="0"/>
                <xsd:element ref="ns1:PublishingExpiration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9" nillable="true" ma:displayName="Number of Ratings" ma:decimals="0" ma:description="Number of ratings submitted" ma:internalName="Number_x0020_of_x0020_Ratings" ma:readOnly="true">
      <xsd:simpleType>
        <xsd:restriction base="dms:Number"/>
      </xsd:simpleType>
    </xsd:element>
    <xsd:element name="_dlc_ExpireDateSaved" ma:index="13" nillable="true" ma:displayName="Original Expiration Date" ma:description="" ma:hidden="true" ma:internalName="_dlc_ExpireDateSaved" ma:readOnly="true">
      <xsd:simpleType>
        <xsd:restriction base="dms:DateTime"/>
      </xsd:simpleType>
    </xsd:element>
    <xsd:element name="_dlc_ExpireDate" ma:index="14" nillable="true" ma:displayName="Expiration Date" ma:description="" ma:hidden="true" ma:indexed="true" ma:internalName="_dlc_ExpireDate" ma:readOnly="true">
      <xsd:simpleType>
        <xsd:restriction base="dms:DateTime"/>
      </xsd:simpleType>
    </xsd:element>
    <xsd:element name="_dlc_Exempt" ma:index="15" nillable="true" ma:displayName="Exempt from Policy" ma:hidden="true" ma:internalName="_dlc_Exempt" ma:readOnly="true">
      <xsd:simpleType>
        <xsd:restriction base="dms:Unknown"/>
      </xsd:simpleType>
    </xsd:element>
    <xsd:element name="PublishingStartDate" ma:index="16" nillable="true" ma:displayName="Scheduling Start Date" ma:internalName="PublishingStartDate">
      <xsd:simpleType>
        <xsd:restriction base="dms:Unknown"/>
      </xsd:simpleType>
    </xsd:element>
    <xsd:element name="PublishingExpirationDate" ma:index="17" nillable="true" ma:displayName="Scheduling End Date" ma:internalName="PublishingExpirationDate">
      <xsd:simpleType>
        <xsd:restriction base="dms:Unknown"/>
      </xsd:simpleType>
    </xsd:element>
    <xsd:element name="_vti_ItemDeclaredRecord" ma:index="18" nillable="true" ma:displayName="Declared Record" ma:hidden="true" ma:internalName="_vti_ItemDeclaredRecord" ma:readOnly="true">
      <xsd:simpleType>
        <xsd:restriction base="dms:DateTime"/>
      </xsd:simpleType>
    </xsd:element>
    <xsd:element name="_vti_ItemHoldRecordStatus" ma:index="1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760efa-947c-40de-95ec-62142cf93892"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Enterprise_x0020_Keywords" ma:displayName="Enterprise Keywords" ma:fieldId="{23f27201-bee3-471e-b2e7-b64fd8b7ca38}" ma:taxonomyMulti="true" ma:sspId="cb3b16da-6438-44a9-840c-73f1ed966cc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91ad30-9ade-4f0c-b78e-cf30469879a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62537cf-13ec-4c5d-82b2-7830d4d5ca9c}" ma:internalName="TaxCatchAll" ma:showField="CatchAllData" ma:web="80760efa-947c-40de-95ec-62142cf938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91ad30-9ade-4f0c-b78e-cf30469879ae"/>
    <_dlc_ExpireDateSaved xmlns="http://schemas.microsoft.com/sharepoint/v3" xsi:nil="true"/>
    <_dlc_ExpireDate xmlns="http://schemas.microsoft.com/sharepoint/v3">2028-12-02T23:00:00+00:00</_dlc_ExpireDate>
    <TaxKeywordTaxHTField xmlns="80760efa-947c-40de-95ec-62142cf93892">
      <Terms xmlns="http://schemas.microsoft.com/office/infopath/2007/PartnerControls"/>
    </TaxKeywordTaxHTField>
    <PublishingExpirationDate xmlns="http://schemas.microsoft.com/sharepoint/v3" xsi:nil="true"/>
    <PublishingStartDate xmlns="http://schemas.microsoft.com/sharepoint/v3" xsi:nil="true"/>
    <AverageRating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5589C-57B8-4793-A36B-A54C03A19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760efa-947c-40de-95ec-62142cf93892"/>
    <ds:schemaRef ds:uri="f191ad30-9ade-4f0c-b78e-cf3046987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B8EB68-35E8-49E1-ACB1-BEA61A7FF4EF}">
  <ds:schemaRefs>
    <ds:schemaRef ds:uri="http://schemas.microsoft.com/office/2006/metadata/properties"/>
    <ds:schemaRef ds:uri="http://schemas.microsoft.com/office/infopath/2007/PartnerControls"/>
    <ds:schemaRef ds:uri="f191ad30-9ade-4f0c-b78e-cf30469879ae"/>
    <ds:schemaRef ds:uri="http://schemas.microsoft.com/sharepoint/v3"/>
    <ds:schemaRef ds:uri="80760efa-947c-40de-95ec-62142cf93892"/>
  </ds:schemaRefs>
</ds:datastoreItem>
</file>

<file path=customXml/itemProps3.xml><?xml version="1.0" encoding="utf-8"?>
<ds:datastoreItem xmlns:ds="http://schemas.openxmlformats.org/officeDocument/2006/customXml" ds:itemID="{5C633B08-5F13-4620-ACEC-CE8D4868D84D}">
  <ds:schemaRefs>
    <ds:schemaRef ds:uri="http://schemas.microsoft.com/sharepoint/v3/contenttype/forms"/>
  </ds:schemaRefs>
</ds:datastoreItem>
</file>

<file path=customXml/itemProps4.xml><?xml version="1.0" encoding="utf-8"?>
<ds:datastoreItem xmlns:ds="http://schemas.openxmlformats.org/officeDocument/2006/customXml" ds:itemID="{F658B058-4213-9B44-92A0-9D2C4F8E6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3212</Words>
  <Characters>18312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Shire</Company>
  <LinksUpToDate>false</LinksUpToDate>
  <CharactersWithSpaces>21482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Lecomte-Brisset, Emmanuelle</dc:creator>
  <cp:lastModifiedBy>Microsoft Office User</cp:lastModifiedBy>
  <cp:revision>2</cp:revision>
  <cp:lastPrinted>2018-09-27T15:56:00Z</cp:lastPrinted>
  <dcterms:created xsi:type="dcterms:W3CDTF">2019-02-01T09:04:00Z</dcterms:created>
  <dcterms:modified xsi:type="dcterms:W3CDTF">2019-02-01T09:04:00Z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0x010100038B1DD040CEE44DB0E16866A175B3F9</vt:lpwstr>
  </property>
  <property fmtid="{D5CDD505-2E9C-101B-9397-08002B2CF9AE}" pid="3" name="ItemRetentionFormula">
    <vt:lpwstr>&lt;formula id="Roche.Common.Coremap.ExpirationFormula" /&gt;</vt:lpwstr>
  </property>
  <property fmtid="{D5CDD505-2E9C-101B-9397-08002B2CF9AE}" pid="4" name="_dlc_policyId">
    <vt:lpwstr>/team/20123189/Documents</vt:lpwstr>
  </property>
  <property fmtid="{D5CDD505-2E9C-101B-9397-08002B2CF9AE}" pid="5" name="TaxKeyword">
    <vt:lpwstr/>
  </property>
  <property fmtid="{D5CDD505-2E9C-101B-9397-08002B2CF9AE}" pid="6" name="Enterprise Keywords">
    <vt:lpwstr>;#</vt:lpwstr>
  </property>
</Properties>
</file>