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FFE43" w14:textId="77777777" w:rsidR="006C0CEE" w:rsidRPr="004C59DF" w:rsidRDefault="00364F8C" w:rsidP="00C05A4F">
      <w:pPr>
        <w:pStyle w:val="CommentText"/>
        <w:spacing w:after="120" w:line="276" w:lineRule="auto"/>
        <w:jc w:val="center"/>
        <w:rPr>
          <w:sz w:val="22"/>
          <w:szCs w:val="22"/>
        </w:rPr>
      </w:pPr>
      <w:bookmarkStart w:id="0" w:name="_GoBack"/>
      <w:bookmarkEnd w:id="0"/>
      <w:r>
        <w:rPr>
          <w:b/>
          <w:sz w:val="22"/>
          <w:szCs w:val="22"/>
        </w:rPr>
        <w:t>EFPIA</w:t>
      </w:r>
      <w:r w:rsidRPr="004C59DF">
        <w:rPr>
          <w:b/>
          <w:sz w:val="22"/>
          <w:szCs w:val="22"/>
        </w:rPr>
        <w:t xml:space="preserve"> </w:t>
      </w:r>
      <w:r w:rsidR="00132795" w:rsidRPr="004C59DF">
        <w:rPr>
          <w:b/>
          <w:sz w:val="22"/>
          <w:szCs w:val="22"/>
        </w:rPr>
        <w:t xml:space="preserve">Position Paper on </w:t>
      </w:r>
      <w:r w:rsidR="006C0CEE" w:rsidRPr="00B85502">
        <w:rPr>
          <w:b/>
          <w:sz w:val="22"/>
          <w:szCs w:val="22"/>
        </w:rPr>
        <w:t xml:space="preserve">the </w:t>
      </w:r>
      <w:r w:rsidR="001D34C6" w:rsidRPr="00B85502">
        <w:rPr>
          <w:b/>
          <w:sz w:val="22"/>
          <w:szCs w:val="22"/>
        </w:rPr>
        <w:t xml:space="preserve">Impact of </w:t>
      </w:r>
      <w:r w:rsidR="00261256" w:rsidRPr="00B85502">
        <w:rPr>
          <w:b/>
          <w:sz w:val="22"/>
          <w:szCs w:val="22"/>
        </w:rPr>
        <w:t>Non-harmonised</w:t>
      </w:r>
      <w:r w:rsidR="001D34C6" w:rsidRPr="00B85502">
        <w:rPr>
          <w:b/>
          <w:sz w:val="22"/>
          <w:szCs w:val="22"/>
        </w:rPr>
        <w:t xml:space="preserve"> Requirements</w:t>
      </w:r>
      <w:r w:rsidR="00E03A62">
        <w:rPr>
          <w:b/>
          <w:sz w:val="22"/>
          <w:szCs w:val="22"/>
        </w:rPr>
        <w:t xml:space="preserve"> </w:t>
      </w:r>
      <w:r w:rsidR="003B193E">
        <w:rPr>
          <w:b/>
          <w:sz w:val="22"/>
          <w:szCs w:val="22"/>
        </w:rPr>
        <w:t xml:space="preserve">in Local Pharmacopoeias </w:t>
      </w:r>
      <w:r w:rsidR="00E03A62">
        <w:rPr>
          <w:b/>
          <w:sz w:val="22"/>
          <w:szCs w:val="22"/>
        </w:rPr>
        <w:t>and Opportunities to Promote Alignment of Public Standards</w:t>
      </w:r>
      <w:r w:rsidR="001D34C6" w:rsidRPr="00B85502">
        <w:rPr>
          <w:b/>
          <w:sz w:val="22"/>
          <w:szCs w:val="22"/>
        </w:rPr>
        <w:t xml:space="preserve"> </w:t>
      </w:r>
    </w:p>
    <w:p w14:paraId="5C6A49A6" w14:textId="77777777" w:rsidR="00C93523" w:rsidRDefault="00C93523" w:rsidP="00C05A4F">
      <w:pPr>
        <w:spacing w:after="120"/>
        <w:rPr>
          <w:b/>
        </w:rPr>
      </w:pPr>
    </w:p>
    <w:p w14:paraId="74984223" w14:textId="77777777" w:rsidR="006C0CEE" w:rsidRDefault="006C0CEE" w:rsidP="00C05A4F">
      <w:pPr>
        <w:spacing w:after="120"/>
        <w:rPr>
          <w:b/>
        </w:rPr>
      </w:pPr>
      <w:r>
        <w:rPr>
          <w:b/>
        </w:rPr>
        <w:t>Executive Summary</w:t>
      </w:r>
    </w:p>
    <w:p w14:paraId="102E3AF2" w14:textId="77777777" w:rsidR="00C04358" w:rsidRDefault="0059059C" w:rsidP="00C05A4F">
      <w:pPr>
        <w:spacing w:after="120"/>
      </w:pPr>
      <w:r>
        <w:t xml:space="preserve">This position paper describes the current pharmacopoeial landscape and issues faced by industry due to the lack of globally harmonised pharmacopoeial </w:t>
      </w:r>
      <w:r w:rsidR="00C04358">
        <w:t xml:space="preserve">requirements, and the increasing importance of the local </w:t>
      </w:r>
      <w:r w:rsidR="00A11AB2">
        <w:t xml:space="preserve">(usually national) </w:t>
      </w:r>
      <w:r w:rsidR="00C04358">
        <w:t>pharmacopoeias from the new</w:t>
      </w:r>
      <w:r w:rsidR="004B6211" w:rsidRPr="004B6211">
        <w:t xml:space="preserve"> </w:t>
      </w:r>
      <w:r w:rsidR="004B6211">
        <w:t xml:space="preserve">International Council for Harmonisation (ICH) </w:t>
      </w:r>
      <w:r w:rsidR="00C04358">
        <w:t>members and emerging markets</w:t>
      </w:r>
      <w:r>
        <w:t>.</w:t>
      </w:r>
      <w:r w:rsidR="00C04358">
        <w:t xml:space="preserve"> </w:t>
      </w:r>
    </w:p>
    <w:p w14:paraId="5897FDB3" w14:textId="77777777" w:rsidR="00C04358" w:rsidRDefault="00C04358" w:rsidP="00C05A4F">
      <w:pPr>
        <w:spacing w:after="120"/>
      </w:pPr>
      <w:r>
        <w:t>The scope of pharmacopoeial content and development of pharmacopoeial general chapters and monographs is discussed, together with the relationship between pharmacopoeial and regulatory requirements, and collaborative efforts between the pharmacopoeias.</w:t>
      </w:r>
    </w:p>
    <w:p w14:paraId="59ECA72C" w14:textId="77777777" w:rsidR="003018AB" w:rsidRDefault="00DD726A" w:rsidP="00C05A4F">
      <w:pPr>
        <w:spacing w:after="120"/>
      </w:pPr>
      <w:r w:rsidRPr="00C93523">
        <w:t xml:space="preserve">Below are </w:t>
      </w:r>
      <w:proofErr w:type="spellStart"/>
      <w:r w:rsidR="00835E92">
        <w:t>Efpia’s</w:t>
      </w:r>
      <w:proofErr w:type="spellEnd"/>
      <w:r w:rsidRPr="00C93523">
        <w:t xml:space="preserve"> </w:t>
      </w:r>
      <w:r w:rsidR="00C04358" w:rsidRPr="00C93523">
        <w:t xml:space="preserve">key messages and recommendations to promote global harmonisation or convergence of public </w:t>
      </w:r>
      <w:r w:rsidR="00835E92">
        <w:t xml:space="preserve">pharmacopoeial </w:t>
      </w:r>
      <w:r w:rsidR="00C04358" w:rsidRPr="00C93523">
        <w:t>standards in the short to medium term</w:t>
      </w:r>
      <w:r w:rsidR="00C93523">
        <w:t>.</w:t>
      </w:r>
      <w:r w:rsidR="00C04358" w:rsidRPr="00C93523">
        <w:t xml:space="preserve"> </w:t>
      </w:r>
    </w:p>
    <w:p w14:paraId="66D63972" w14:textId="77777777" w:rsidR="00DD726A" w:rsidRDefault="00DD726A" w:rsidP="00DD726A">
      <w:pPr>
        <w:spacing w:after="120"/>
        <w:rPr>
          <w:b/>
        </w:rPr>
      </w:pPr>
      <w:r>
        <w:rPr>
          <w:b/>
        </w:rPr>
        <w:t>Key Messages</w:t>
      </w:r>
      <w:r w:rsidRPr="00FB4900" w:rsidDel="00EB70A0">
        <w:rPr>
          <w:b/>
        </w:rPr>
        <w:t xml:space="preserve"> </w:t>
      </w:r>
      <w:r>
        <w:rPr>
          <w:b/>
        </w:rPr>
        <w:t xml:space="preserve">and Recommendations </w:t>
      </w:r>
    </w:p>
    <w:p w14:paraId="4366AAEC" w14:textId="77777777" w:rsidR="00DD726A" w:rsidRDefault="00DD726A" w:rsidP="00DD726A">
      <w:pPr>
        <w:spacing w:after="120"/>
      </w:pPr>
      <w:r>
        <w:t xml:space="preserve">Pharmacopoeial standards are an important part of the regulatory framework, facilitating the efficient review and approval of bio/pharmaceuticals, and providing official standards for </w:t>
      </w:r>
      <w:r w:rsidRPr="00DD726A">
        <w:t xml:space="preserve">quality control during the development, production and marketing </w:t>
      </w:r>
      <w:r>
        <w:t>of medicines. Globalisation of pharmaceutical supply chains drives the need for aligned standards between pharmacopoeias, to simplify the requirements for compliance and facilitate the availability of medicines</w:t>
      </w:r>
      <w:r w:rsidR="0075649C">
        <w:t xml:space="preserve"> to all patients worldwide</w:t>
      </w:r>
      <w:r>
        <w:t xml:space="preserve">. </w:t>
      </w:r>
    </w:p>
    <w:p w14:paraId="54B7F7C6" w14:textId="77777777" w:rsidR="00DD726A" w:rsidRDefault="00DD726A" w:rsidP="00DD726A">
      <w:pPr>
        <w:spacing w:after="120"/>
      </w:pPr>
      <w:r>
        <w:t>Di</w:t>
      </w:r>
      <w:r w:rsidR="00902CEB">
        <w:t>fferent pharmacopoeial quality</w:t>
      </w:r>
      <w:r>
        <w:t xml:space="preserve"> standards, usually without any meaningful difference in the quality of </w:t>
      </w:r>
      <w:r w:rsidR="00902CEB">
        <w:t xml:space="preserve">the same </w:t>
      </w:r>
      <w:r>
        <w:t>medicine</w:t>
      </w:r>
      <w:r w:rsidR="00902CEB">
        <w:t xml:space="preserve"> supplied to</w:t>
      </w:r>
      <w:r>
        <w:t xml:space="preserve"> patients</w:t>
      </w:r>
      <w:r w:rsidR="00902CEB">
        <w:t xml:space="preserve"> in different countries</w:t>
      </w:r>
      <w:r>
        <w:t xml:space="preserve">, can result in the need to source different grades of raw materials and duplication of testing </w:t>
      </w:r>
      <w:r w:rsidR="00F95641">
        <w:t xml:space="preserve">of materials and medicinal products </w:t>
      </w:r>
      <w:r>
        <w:t>to fulfil local requirements</w:t>
      </w:r>
      <w:r w:rsidR="00A11AB2">
        <w:t>. Thus these divergent standards</w:t>
      </w:r>
      <w:r w:rsidR="00F95641">
        <w:t xml:space="preserve"> </w:t>
      </w:r>
      <w:r>
        <w:t>increase complexity in manufacturing and supply chains</w:t>
      </w:r>
      <w:r w:rsidR="00A11AB2">
        <w:t xml:space="preserve"> </w:t>
      </w:r>
      <w:r w:rsidR="007E0DDD">
        <w:t xml:space="preserve">which </w:t>
      </w:r>
      <w:r w:rsidR="00A11AB2">
        <w:t>i</w:t>
      </w:r>
      <w:r>
        <w:t>n turn</w:t>
      </w:r>
      <w:r w:rsidR="007E0DDD">
        <w:t xml:space="preserve"> </w:t>
      </w:r>
      <w:r>
        <w:t>can result in increased costs and</w:t>
      </w:r>
      <w:r w:rsidR="00902CEB">
        <w:t>,</w:t>
      </w:r>
      <w:r>
        <w:t xml:space="preserve"> potentially</w:t>
      </w:r>
      <w:r w:rsidR="00902CEB">
        <w:t>, in</w:t>
      </w:r>
      <w:r>
        <w:t xml:space="preserve"> </w:t>
      </w:r>
      <w:r w:rsidR="009874DE">
        <w:t>shortages</w:t>
      </w:r>
      <w:r>
        <w:t xml:space="preserve"> of medicines for patients.</w:t>
      </w:r>
    </w:p>
    <w:p w14:paraId="30A9512E" w14:textId="77777777" w:rsidR="00DD726A" w:rsidRDefault="00DD726A" w:rsidP="00DD726A">
      <w:pPr>
        <w:spacing w:after="120"/>
      </w:pPr>
      <w:r>
        <w:t>To address these challenges EFPIA and its member companies and associations encourage:</w:t>
      </w:r>
    </w:p>
    <w:p w14:paraId="6A9C1AEA" w14:textId="77777777" w:rsidR="00DD726A" w:rsidRDefault="00FF671E" w:rsidP="00DD726A">
      <w:pPr>
        <w:pStyle w:val="ListParagraph"/>
        <w:numPr>
          <w:ilvl w:val="0"/>
          <w:numId w:val="10"/>
        </w:numPr>
        <w:spacing w:after="120"/>
      </w:pPr>
      <w:r>
        <w:t>Harmonisation, c</w:t>
      </w:r>
      <w:r w:rsidR="00DD726A">
        <w:t>onvergence</w:t>
      </w:r>
      <w:r w:rsidR="00902CEB">
        <w:t xml:space="preserve"> or </w:t>
      </w:r>
      <w:r w:rsidR="00DD726A">
        <w:t>alignment of pharmacopoeial and regulatory requirements wherever possible</w:t>
      </w:r>
    </w:p>
    <w:p w14:paraId="01C16E9C" w14:textId="77777777" w:rsidR="00600FDD" w:rsidRDefault="00600FDD" w:rsidP="00600FDD">
      <w:pPr>
        <w:pStyle w:val="ListParagraph"/>
        <w:numPr>
          <w:ilvl w:val="0"/>
          <w:numId w:val="10"/>
        </w:numPr>
        <w:spacing w:after="120"/>
      </w:pPr>
      <w:r>
        <w:rPr>
          <w:rFonts w:cstheme="minorHAnsi"/>
        </w:rPr>
        <w:t>M</w:t>
      </w:r>
      <w:r w:rsidRPr="00F5654A">
        <w:rPr>
          <w:rFonts w:cstheme="minorHAnsi"/>
        </w:rPr>
        <w:t>utual acceptance or reliance</w:t>
      </w:r>
      <w:r w:rsidRPr="00AF23E4">
        <w:rPr>
          <w:rFonts w:cstheme="minorHAnsi"/>
        </w:rPr>
        <w:t xml:space="preserve"> </w:t>
      </w:r>
      <w:r>
        <w:t>by regulatory agencies</w:t>
      </w:r>
      <w:r w:rsidRPr="00B16233">
        <w:rPr>
          <w:rFonts w:cstheme="minorHAnsi"/>
        </w:rPr>
        <w:t xml:space="preserve"> o</w:t>
      </w:r>
      <w:r>
        <w:rPr>
          <w:rFonts w:cstheme="minorHAnsi"/>
        </w:rPr>
        <w:t>n</w:t>
      </w:r>
      <w:r w:rsidRPr="00B16233">
        <w:rPr>
          <w:rFonts w:cstheme="minorHAnsi"/>
        </w:rPr>
        <w:t xml:space="preserve"> </w:t>
      </w:r>
      <w:r>
        <w:rPr>
          <w:rFonts w:cstheme="minorHAnsi"/>
        </w:rPr>
        <w:t xml:space="preserve">established internationally-recognised pharmacopoeial standards (e.g. Ph.Eur., USP) based on </w:t>
      </w:r>
      <w:r w:rsidRPr="00B16233">
        <w:rPr>
          <w:rFonts w:cstheme="minorHAnsi"/>
        </w:rPr>
        <w:t xml:space="preserve">the </w:t>
      </w:r>
      <w:r>
        <w:rPr>
          <w:rFonts w:cstheme="minorHAnsi"/>
        </w:rPr>
        <w:t>similarity</w:t>
      </w:r>
      <w:r w:rsidRPr="00B16233">
        <w:rPr>
          <w:rFonts w:cstheme="minorHAnsi"/>
        </w:rPr>
        <w:t xml:space="preserve"> of quality standards in different pharmacopoeias</w:t>
      </w:r>
      <w:r>
        <w:rPr>
          <w:rFonts w:cstheme="minorHAnsi"/>
        </w:rPr>
        <w:t xml:space="preserve"> </w:t>
      </w:r>
      <w:r>
        <w:t xml:space="preserve"> </w:t>
      </w:r>
    </w:p>
    <w:p w14:paraId="74BD03DA" w14:textId="77777777" w:rsidR="00FF671E" w:rsidRDefault="00DD726A" w:rsidP="00DD726A">
      <w:pPr>
        <w:pStyle w:val="ListParagraph"/>
        <w:numPr>
          <w:ilvl w:val="0"/>
          <w:numId w:val="10"/>
        </w:numPr>
        <w:spacing w:after="120"/>
      </w:pPr>
      <w:r>
        <w:t xml:space="preserve">Adoption of international </w:t>
      </w:r>
      <w:r w:rsidR="00600FDD">
        <w:t xml:space="preserve">pharmacopoeial </w:t>
      </w:r>
      <w:r>
        <w:t xml:space="preserve">standards </w:t>
      </w:r>
      <w:r w:rsidR="00352CA9">
        <w:t xml:space="preserve">(preferably using internationally harmonised text, where available) </w:t>
      </w:r>
      <w:r w:rsidR="009874DE">
        <w:t xml:space="preserve">in local pharmacopoeias </w:t>
      </w:r>
      <w:r w:rsidR="00902CEB">
        <w:t xml:space="preserve"> </w:t>
      </w:r>
      <w:r>
        <w:t>rather than developing local standards</w:t>
      </w:r>
      <w:r w:rsidR="00B446B0">
        <w:t>, especially where the pharmacopoeia is updated infrequently</w:t>
      </w:r>
      <w:r w:rsidR="00352CA9">
        <w:t xml:space="preserve"> </w:t>
      </w:r>
    </w:p>
    <w:p w14:paraId="1249B058" w14:textId="77777777" w:rsidR="00600FDD" w:rsidRDefault="00600FDD" w:rsidP="00600FDD">
      <w:pPr>
        <w:pStyle w:val="ListParagraph"/>
        <w:numPr>
          <w:ilvl w:val="0"/>
          <w:numId w:val="10"/>
        </w:numPr>
        <w:spacing w:after="120"/>
      </w:pPr>
      <w:r>
        <w:t>Pharmacopoeial authorities and regulators to adopt the outputs of ICH guidelines and supporting the re-establishment/evolution of ICH Q4B</w:t>
      </w:r>
    </w:p>
    <w:p w14:paraId="2FFEEAF9" w14:textId="77777777" w:rsidR="00DD726A" w:rsidRDefault="00DD726A" w:rsidP="004C59DF">
      <w:pPr>
        <w:pStyle w:val="ListParagraph"/>
        <w:numPr>
          <w:ilvl w:val="0"/>
          <w:numId w:val="10"/>
        </w:numPr>
        <w:spacing w:after="120"/>
      </w:pPr>
      <w:r>
        <w:t>Prospective harmonisation</w:t>
      </w:r>
      <w:r w:rsidR="00600FDD">
        <w:t xml:space="preserve"> or alignment of requirements</w:t>
      </w:r>
      <w:r>
        <w:t xml:space="preserve"> </w:t>
      </w:r>
      <w:r w:rsidR="004C59DF">
        <w:t xml:space="preserve">during </w:t>
      </w:r>
      <w:r>
        <w:t>development of new and revised content</w:t>
      </w:r>
      <w:r w:rsidR="004C59DF">
        <w:t xml:space="preserve"> by collaboration between the pharmacopoeial authorities</w:t>
      </w:r>
      <w:r>
        <w:t xml:space="preserve"> through initiatives such as WHO’s Good Pharmacopoeial Practices and ICH (e.g. </w:t>
      </w:r>
      <w:r w:rsidR="004C59DF">
        <w:t>through re-establishing/refresh</w:t>
      </w:r>
      <w:r>
        <w:t>ing Q4B)</w:t>
      </w:r>
    </w:p>
    <w:p w14:paraId="6189257A" w14:textId="77777777" w:rsidR="00DD726A" w:rsidRDefault="00DD726A" w:rsidP="00DD726A">
      <w:pPr>
        <w:pStyle w:val="ListParagraph"/>
        <w:numPr>
          <w:ilvl w:val="0"/>
          <w:numId w:val="10"/>
        </w:numPr>
        <w:spacing w:after="120"/>
      </w:pPr>
      <w:r>
        <w:lastRenderedPageBreak/>
        <w:t>Development of  ‘G</w:t>
      </w:r>
      <w:r w:rsidRPr="00BE0D7B">
        <w:t>eneral chapters</w:t>
      </w:r>
      <w:r>
        <w:t xml:space="preserve">’ </w:t>
      </w:r>
      <w:r w:rsidR="004C59DF">
        <w:t xml:space="preserve">or revised standards </w:t>
      </w:r>
      <w:r>
        <w:t xml:space="preserve">that </w:t>
      </w:r>
      <w:r w:rsidR="004C59DF">
        <w:t>take into consideration   emerging scientific</w:t>
      </w:r>
      <w:r w:rsidR="00FB6FCB">
        <w:t>,</w:t>
      </w:r>
      <w:r w:rsidR="004C59DF">
        <w:t xml:space="preserve"> regulatory</w:t>
      </w:r>
      <w:r w:rsidR="00FB6FCB">
        <w:t xml:space="preserve"> and pharmacopoeial </w:t>
      </w:r>
      <w:r w:rsidR="004C59DF">
        <w:t xml:space="preserve"> developments, agreed methodologies and/or best practices that </w:t>
      </w:r>
      <w:r>
        <w:t>reflect the state of the industry</w:t>
      </w:r>
      <w:r w:rsidR="00401794">
        <w:t>,</w:t>
      </w:r>
      <w:r>
        <w:t xml:space="preserve"> </w:t>
      </w:r>
      <w:r w:rsidR="004C59DF">
        <w:t xml:space="preserve">so that technological advances are  incorporated when the technology is sufficiently mature </w:t>
      </w:r>
    </w:p>
    <w:p w14:paraId="656F9D0C" w14:textId="77777777" w:rsidR="00DD726A" w:rsidRDefault="00DD726A" w:rsidP="00DD726A">
      <w:pPr>
        <w:pStyle w:val="ListParagraph"/>
        <w:numPr>
          <w:ilvl w:val="0"/>
          <w:numId w:val="10"/>
        </w:numPr>
        <w:spacing w:after="120"/>
      </w:pPr>
      <w:r>
        <w:t xml:space="preserve">Building flexibility into monographs and general chapters where appropriate (e.g. </w:t>
      </w:r>
      <w:r w:rsidR="000E108B">
        <w:t xml:space="preserve">by </w:t>
      </w:r>
      <w:r>
        <w:t>allow</w:t>
      </w:r>
      <w:r w:rsidR="000E108B">
        <w:t>ing</w:t>
      </w:r>
      <w:r>
        <w:t xml:space="preserve"> the use of alternative methods)</w:t>
      </w:r>
    </w:p>
    <w:p w14:paraId="05E8CC80" w14:textId="77777777" w:rsidR="000E108B" w:rsidRDefault="000E108B" w:rsidP="00DD726A">
      <w:pPr>
        <w:pStyle w:val="ListParagraph"/>
        <w:numPr>
          <w:ilvl w:val="0"/>
          <w:numId w:val="10"/>
        </w:numPr>
        <w:spacing w:after="120"/>
      </w:pPr>
      <w:r>
        <w:t xml:space="preserve">Monograph requirements that are aligned with specifications registered by the regulatory agency, particularly </w:t>
      </w:r>
      <w:r w:rsidR="00FB6FCB">
        <w:t>with respect to the innovator product</w:t>
      </w:r>
      <w:r>
        <w:t xml:space="preserve"> </w:t>
      </w:r>
    </w:p>
    <w:p w14:paraId="4EF9F6A2" w14:textId="77777777" w:rsidR="00DD726A" w:rsidRDefault="005713EA" w:rsidP="00DD726A">
      <w:pPr>
        <w:pStyle w:val="ListParagraph"/>
        <w:numPr>
          <w:ilvl w:val="0"/>
          <w:numId w:val="10"/>
        </w:numPr>
        <w:spacing w:after="120"/>
      </w:pPr>
      <w:r>
        <w:t>Good Manufacturing and Distribution Practices</w:t>
      </w:r>
      <w:r w:rsidRPr="00391F4E">
        <w:t xml:space="preserve"> </w:t>
      </w:r>
      <w:r>
        <w:t>(</w:t>
      </w:r>
      <w:r w:rsidR="009874DE" w:rsidRPr="00391F4E">
        <w:t>GM</w:t>
      </w:r>
      <w:r w:rsidR="009874DE">
        <w:t>D</w:t>
      </w:r>
      <w:r w:rsidR="009874DE" w:rsidRPr="00391F4E">
        <w:t>P</w:t>
      </w:r>
      <w:r>
        <w:t>)</w:t>
      </w:r>
      <w:r w:rsidR="009874DE" w:rsidRPr="00391F4E">
        <w:t xml:space="preserve"> requirement</w:t>
      </w:r>
      <w:r w:rsidR="004F636E">
        <w:t>s</w:t>
      </w:r>
      <w:r w:rsidR="009874DE" w:rsidRPr="00391F4E">
        <w:t xml:space="preserve"> remain</w:t>
      </w:r>
      <w:r w:rsidR="004F636E">
        <w:t>ing</w:t>
      </w:r>
      <w:r w:rsidR="009874DE" w:rsidRPr="00391F4E">
        <w:t xml:space="preserve"> th</w:t>
      </w:r>
      <w:r w:rsidR="009874DE">
        <w:t>e remit of the regulatory authorities</w:t>
      </w:r>
      <w:r w:rsidR="004F636E">
        <w:t>;</w:t>
      </w:r>
      <w:r w:rsidR="009874DE">
        <w:t xml:space="preserve"> </w:t>
      </w:r>
      <w:r w:rsidR="00DD726A">
        <w:t xml:space="preserve">Pharmacopoeias </w:t>
      </w:r>
      <w:r w:rsidR="009874DE">
        <w:t>should not</w:t>
      </w:r>
      <w:r w:rsidR="004F636E">
        <w:t xml:space="preserve"> </w:t>
      </w:r>
      <w:r w:rsidR="00DD726A" w:rsidRPr="00391F4E">
        <w:t>develop chapters and requirements pertaining to GM</w:t>
      </w:r>
      <w:r w:rsidR="00F944E1">
        <w:t>D</w:t>
      </w:r>
      <w:r w:rsidR="00DD726A" w:rsidRPr="00391F4E">
        <w:t>P</w:t>
      </w:r>
      <w:r w:rsidR="000B72C7">
        <w:t>,</w:t>
      </w:r>
      <w:r w:rsidR="00DD726A" w:rsidRPr="00391F4E">
        <w:t xml:space="preserve"> unless specifically mandated by a regulatory agency</w:t>
      </w:r>
      <w:r w:rsidR="00DD726A">
        <w:t>.</w:t>
      </w:r>
      <w:r w:rsidR="00DD726A" w:rsidRPr="00391F4E">
        <w:t xml:space="preserve"> </w:t>
      </w:r>
    </w:p>
    <w:p w14:paraId="66777E2A" w14:textId="77777777" w:rsidR="006C0CEE" w:rsidRPr="00463F64" w:rsidRDefault="006C0CEE" w:rsidP="00C05A4F">
      <w:pPr>
        <w:spacing w:after="120"/>
      </w:pPr>
      <w:r w:rsidRPr="00C05A4F">
        <w:rPr>
          <w:b/>
        </w:rPr>
        <w:t>Background</w:t>
      </w:r>
    </w:p>
    <w:p w14:paraId="112FFEE2" w14:textId="77777777" w:rsidR="006C0CEE" w:rsidRDefault="006C0CEE" w:rsidP="006C0CEE">
      <w:pPr>
        <w:tabs>
          <w:tab w:val="num" w:pos="720"/>
        </w:tabs>
        <w:spacing w:after="120"/>
        <w:rPr>
          <w:rFonts w:cstheme="minorHAnsi"/>
        </w:rPr>
      </w:pPr>
      <w:r>
        <w:t xml:space="preserve">The latest </w:t>
      </w:r>
      <w:r w:rsidRPr="00463F64">
        <w:t>W</w:t>
      </w:r>
      <w:r>
        <w:t xml:space="preserve">orld </w:t>
      </w:r>
      <w:r w:rsidRPr="00463F64">
        <w:t>H</w:t>
      </w:r>
      <w:r>
        <w:t xml:space="preserve">ealth </w:t>
      </w:r>
      <w:r w:rsidRPr="00463F64">
        <w:t>O</w:t>
      </w:r>
      <w:r>
        <w:t xml:space="preserve">rganisation </w:t>
      </w:r>
      <w:r w:rsidR="00FB6FCB" w:rsidRPr="000B72C7">
        <w:t>(WHO) Index of Pharmacopoeias</w:t>
      </w:r>
      <w:r w:rsidRPr="00463F64">
        <w:t xml:space="preserve"> </w:t>
      </w:r>
      <w:r w:rsidR="00FB6FCB">
        <w:t xml:space="preserve">(1) </w:t>
      </w:r>
      <w:r>
        <w:t xml:space="preserve">published in January </w:t>
      </w:r>
      <w:r w:rsidRPr="00463F64">
        <w:t>201</w:t>
      </w:r>
      <w:r>
        <w:t>8</w:t>
      </w:r>
      <w:r w:rsidR="006975ED">
        <w:t xml:space="preserve"> notes 55</w:t>
      </w:r>
      <w:r w:rsidRPr="00463F64">
        <w:t xml:space="preserve"> national pharmacopoeias/authorities and 3 regional</w:t>
      </w:r>
      <w:r w:rsidR="006975ED">
        <w:t xml:space="preserve">/international </w:t>
      </w:r>
      <w:r w:rsidRPr="00463F64">
        <w:t>pharmacopoeias</w:t>
      </w:r>
      <w:r>
        <w:t xml:space="preserve">. </w:t>
      </w:r>
      <w:r w:rsidR="00261256">
        <w:t xml:space="preserve">With the increasing prevalence of global supply chains </w:t>
      </w:r>
      <w:r w:rsidR="00673925">
        <w:t>(</w:t>
      </w:r>
      <w:r w:rsidR="00673925" w:rsidRPr="00F23F93">
        <w:rPr>
          <w:rFonts w:cstheme="minorHAnsi"/>
        </w:rPr>
        <w:t xml:space="preserve">often a few manufacturing sites supply products </w:t>
      </w:r>
      <w:r w:rsidR="005713EA">
        <w:rPr>
          <w:rFonts w:cstheme="minorHAnsi"/>
        </w:rPr>
        <w:t>t</w:t>
      </w:r>
      <w:r w:rsidR="00673925" w:rsidRPr="00F23F93">
        <w:rPr>
          <w:rFonts w:cstheme="minorHAnsi"/>
        </w:rPr>
        <w:t>o many markets around the world</w:t>
      </w:r>
      <w:r w:rsidR="00673925">
        <w:rPr>
          <w:rFonts w:cstheme="minorHAnsi"/>
        </w:rPr>
        <w:t xml:space="preserve">) </w:t>
      </w:r>
      <w:r w:rsidR="007E0DDD">
        <w:t xml:space="preserve">the </w:t>
      </w:r>
      <w:r w:rsidR="00352CA9">
        <w:t>proliferation</w:t>
      </w:r>
      <w:r w:rsidR="007E0DDD">
        <w:t xml:space="preserve"> of national and</w:t>
      </w:r>
      <w:r w:rsidR="00352CA9">
        <w:t xml:space="preserve"> </w:t>
      </w:r>
      <w:r w:rsidR="007E0DDD">
        <w:t>regional/international pharmacopoeias</w:t>
      </w:r>
      <w:r w:rsidR="007E0DDD" w:rsidRPr="00463F64">
        <w:t xml:space="preserve"> </w:t>
      </w:r>
      <w:r w:rsidRPr="00463F64">
        <w:t>create</w:t>
      </w:r>
      <w:r>
        <w:t>s</w:t>
      </w:r>
      <w:r w:rsidRPr="00463F64">
        <w:t xml:space="preserve"> a complex </w:t>
      </w:r>
      <w:r w:rsidR="006975ED">
        <w:t>set of different requirements for</w:t>
      </w:r>
      <w:r w:rsidR="006975ED" w:rsidRPr="00463F64">
        <w:t xml:space="preserve"> compliance </w:t>
      </w:r>
      <w:r w:rsidR="006975ED">
        <w:t>with pharmacopoeial</w:t>
      </w:r>
      <w:r w:rsidR="006975ED" w:rsidRPr="00463F64">
        <w:t xml:space="preserve"> </w:t>
      </w:r>
      <w:r w:rsidR="006975ED">
        <w:t>standards</w:t>
      </w:r>
      <w:r w:rsidR="00673925">
        <w:t xml:space="preserve">. </w:t>
      </w:r>
      <w:r w:rsidR="006975ED" w:rsidRPr="00607205">
        <w:rPr>
          <w:rFonts w:cstheme="minorHAnsi"/>
        </w:rPr>
        <w:t xml:space="preserve">These differences in </w:t>
      </w:r>
      <w:r w:rsidR="006975ED">
        <w:rPr>
          <w:rFonts w:cstheme="minorHAnsi"/>
        </w:rPr>
        <w:t>pharmacopoeial</w:t>
      </w:r>
      <w:r w:rsidR="006975ED" w:rsidRPr="00607205">
        <w:rPr>
          <w:rFonts w:cstheme="minorHAnsi"/>
        </w:rPr>
        <w:t xml:space="preserve"> requirements </w:t>
      </w:r>
      <w:r w:rsidR="00673925">
        <w:rPr>
          <w:rFonts w:cstheme="minorHAnsi"/>
        </w:rPr>
        <w:t xml:space="preserve">- </w:t>
      </w:r>
      <w:r w:rsidR="00352CA9">
        <w:t xml:space="preserve">usually </w:t>
      </w:r>
      <w:r w:rsidR="00673925">
        <w:t>legal requirements in the local market</w:t>
      </w:r>
      <w:r w:rsidR="00673925" w:rsidRPr="00607205">
        <w:rPr>
          <w:rFonts w:cstheme="minorHAnsi"/>
        </w:rPr>
        <w:t xml:space="preserve"> </w:t>
      </w:r>
      <w:r w:rsidR="00673925">
        <w:rPr>
          <w:rFonts w:cstheme="minorHAnsi"/>
        </w:rPr>
        <w:t xml:space="preserve">- </w:t>
      </w:r>
      <w:r w:rsidR="006975ED" w:rsidRPr="00607205">
        <w:rPr>
          <w:rFonts w:cstheme="minorHAnsi"/>
        </w:rPr>
        <w:t>are rarely associated with meaningful differences in the quality of input materials and/or products</w:t>
      </w:r>
      <w:r w:rsidR="00261256">
        <w:rPr>
          <w:rFonts w:cstheme="minorHAnsi"/>
        </w:rPr>
        <w:t>,</w:t>
      </w:r>
      <w:r w:rsidR="006975ED">
        <w:t xml:space="preserve"> and</w:t>
      </w:r>
      <w:r w:rsidR="00261256">
        <w:t xml:space="preserve"> consequently have</w:t>
      </w:r>
      <w:r w:rsidR="006975ED">
        <w:t xml:space="preserve"> little or no impact on the</w:t>
      </w:r>
      <w:r w:rsidRPr="00463F64">
        <w:t xml:space="preserve"> </w:t>
      </w:r>
      <w:r w:rsidR="009C7DF6">
        <w:t xml:space="preserve">quality, </w:t>
      </w:r>
      <w:r w:rsidRPr="00463F64">
        <w:t>safe</w:t>
      </w:r>
      <w:r w:rsidR="006975ED">
        <w:t>ty</w:t>
      </w:r>
      <w:r w:rsidRPr="00463F64">
        <w:t xml:space="preserve"> </w:t>
      </w:r>
      <w:r w:rsidR="00261256">
        <w:t>and</w:t>
      </w:r>
      <w:r w:rsidR="006975ED">
        <w:t xml:space="preserve"> efficacy of </w:t>
      </w:r>
      <w:r w:rsidRPr="00463F64">
        <w:t>medicines</w:t>
      </w:r>
      <w:r w:rsidR="00261256">
        <w:t>, while</w:t>
      </w:r>
      <w:r w:rsidRPr="00463F64">
        <w:t xml:space="preserve"> </w:t>
      </w:r>
      <w:r w:rsidR="00261256" w:rsidRPr="00607205">
        <w:rPr>
          <w:rFonts w:cstheme="minorHAnsi"/>
        </w:rPr>
        <w:t>increas</w:t>
      </w:r>
      <w:r w:rsidR="00261256">
        <w:rPr>
          <w:rFonts w:cstheme="minorHAnsi"/>
        </w:rPr>
        <w:t>ing the</w:t>
      </w:r>
      <w:r w:rsidR="00261256" w:rsidRPr="00607205">
        <w:rPr>
          <w:rFonts w:cstheme="minorHAnsi"/>
        </w:rPr>
        <w:t xml:space="preserve"> complexity of supply chain management</w:t>
      </w:r>
      <w:r w:rsidR="00261256">
        <w:rPr>
          <w:rFonts w:cstheme="minorHAnsi"/>
        </w:rPr>
        <w:t>.</w:t>
      </w:r>
    </w:p>
    <w:p w14:paraId="7951CD9C" w14:textId="3CDF0F28" w:rsidR="00B16233" w:rsidRDefault="005A4C68" w:rsidP="00B16233">
      <w:pPr>
        <w:spacing w:after="120"/>
      </w:pPr>
      <w:r>
        <w:t>Since the formation of the Pharmacopoeial Discussion group (PDG) in 1990, t</w:t>
      </w:r>
      <w:r w:rsidR="00B16233">
        <w:t xml:space="preserve">he harmonisation of pharmacopoeial standards between the founding ICH members (Europe, Japan and the USA) </w:t>
      </w:r>
      <w:r>
        <w:t xml:space="preserve">has </w:t>
      </w:r>
      <w:r w:rsidR="00B16233">
        <w:t>made significant progress</w:t>
      </w:r>
      <w:r w:rsidR="00490C98">
        <w:t xml:space="preserve"> (2)</w:t>
      </w:r>
      <w:r>
        <w:t xml:space="preserve">. However, </w:t>
      </w:r>
      <w:r w:rsidR="00B16233">
        <w:t>the</w:t>
      </w:r>
      <w:r w:rsidR="00557CA9">
        <w:t xml:space="preserve"> need for compliance with</w:t>
      </w:r>
      <w:r w:rsidR="00B16233">
        <w:t xml:space="preserve"> </w:t>
      </w:r>
      <w:r w:rsidR="00A11AB2">
        <w:t xml:space="preserve">local/national </w:t>
      </w:r>
      <w:r>
        <w:t xml:space="preserve">pharmacopoeias of newer ICH members and </w:t>
      </w:r>
      <w:r w:rsidR="00B16233">
        <w:t>emerging market</w:t>
      </w:r>
      <w:r>
        <w:t xml:space="preserve">s </w:t>
      </w:r>
      <w:r w:rsidR="00557CA9">
        <w:t>is an</w:t>
      </w:r>
      <w:r>
        <w:t xml:space="preserve"> important </w:t>
      </w:r>
      <w:r w:rsidR="00AE656C">
        <w:t>consideration for global supply chains, but these local pharmacopoeias</w:t>
      </w:r>
      <w:r>
        <w:t xml:space="preserve"> are currently outside the PDG process. Therefore</w:t>
      </w:r>
      <w:r w:rsidR="00557CA9">
        <w:t>,</w:t>
      </w:r>
      <w:r>
        <w:t xml:space="preserve"> the landscape for pharmacopoeial compliance has become more complex and fragmented, and there is an even greater need for convergence of pharmacopoeial requirements</w:t>
      </w:r>
      <w:r w:rsidR="003D4372">
        <w:t xml:space="preserve"> and increased understanding of </w:t>
      </w:r>
      <w:r>
        <w:t xml:space="preserve">the pharmacopoeial </w:t>
      </w:r>
      <w:r w:rsidR="00B16233">
        <w:t xml:space="preserve">processes being followed </w:t>
      </w:r>
      <w:r>
        <w:t>in these</w:t>
      </w:r>
      <w:r w:rsidR="00B16233">
        <w:t xml:space="preserve"> market</w:t>
      </w:r>
      <w:r>
        <w:t>s.</w:t>
      </w:r>
      <w:r w:rsidR="00B16233">
        <w:t xml:space="preserve"> </w:t>
      </w:r>
    </w:p>
    <w:p w14:paraId="5249CBA3" w14:textId="77777777" w:rsidR="00835E92" w:rsidRDefault="00B16233" w:rsidP="00C05A4F">
      <w:pPr>
        <w:tabs>
          <w:tab w:val="num" w:pos="720"/>
        </w:tabs>
        <w:spacing w:after="120"/>
        <w:rPr>
          <w:rFonts w:cstheme="minorHAnsi"/>
        </w:rPr>
      </w:pPr>
      <w:r w:rsidRPr="00F23F93">
        <w:rPr>
          <w:rFonts w:cstheme="minorHAnsi"/>
        </w:rPr>
        <w:t>While a single</w:t>
      </w:r>
      <w:r w:rsidR="00FC41DC">
        <w:rPr>
          <w:rFonts w:cstheme="minorHAnsi"/>
        </w:rPr>
        <w:t xml:space="preserve"> set of international public standards</w:t>
      </w:r>
      <w:r w:rsidRPr="00F23F93">
        <w:rPr>
          <w:rFonts w:cstheme="minorHAnsi"/>
        </w:rPr>
        <w:t xml:space="preserve">, </w:t>
      </w:r>
      <w:r w:rsidR="00FC41DC">
        <w:rPr>
          <w:rFonts w:cstheme="minorHAnsi"/>
        </w:rPr>
        <w:t xml:space="preserve">representing a </w:t>
      </w:r>
      <w:r w:rsidRPr="00F23F93">
        <w:rPr>
          <w:rFonts w:cstheme="minorHAnsi"/>
        </w:rPr>
        <w:t xml:space="preserve">global pharmacopoeia </w:t>
      </w:r>
      <w:r w:rsidR="00917E25">
        <w:rPr>
          <w:rFonts w:cstheme="minorHAnsi"/>
        </w:rPr>
        <w:t xml:space="preserve">concept </w:t>
      </w:r>
      <w:r w:rsidRPr="00F23F93">
        <w:rPr>
          <w:rFonts w:cstheme="minorHAnsi"/>
        </w:rPr>
        <w:t xml:space="preserve">is the visionary solution </w:t>
      </w:r>
      <w:r w:rsidR="00C93523">
        <w:rPr>
          <w:rFonts w:cstheme="minorHAnsi"/>
        </w:rPr>
        <w:t xml:space="preserve">that has been proposed in response </w:t>
      </w:r>
      <w:r w:rsidRPr="00F23F93">
        <w:rPr>
          <w:rFonts w:cstheme="minorHAnsi"/>
        </w:rPr>
        <w:t>to this need for harmonization</w:t>
      </w:r>
      <w:r w:rsidR="00490C98">
        <w:rPr>
          <w:rFonts w:cstheme="minorHAnsi"/>
        </w:rPr>
        <w:t xml:space="preserve"> (3)</w:t>
      </w:r>
      <w:r w:rsidRPr="00F23F93">
        <w:rPr>
          <w:rFonts w:cstheme="minorHAnsi"/>
        </w:rPr>
        <w:t>, it is anticipated that it w</w:t>
      </w:r>
      <w:r w:rsidR="00C93523">
        <w:rPr>
          <w:rFonts w:cstheme="minorHAnsi"/>
        </w:rPr>
        <w:t>ould</w:t>
      </w:r>
      <w:r w:rsidRPr="00F23F93">
        <w:rPr>
          <w:rFonts w:cstheme="minorHAnsi"/>
        </w:rPr>
        <w:t xml:space="preserve"> take </w:t>
      </w:r>
      <w:r>
        <w:rPr>
          <w:rFonts w:cstheme="minorHAnsi"/>
        </w:rPr>
        <w:t>significant</w:t>
      </w:r>
      <w:r w:rsidRPr="00F23F93">
        <w:rPr>
          <w:rFonts w:cstheme="minorHAnsi"/>
        </w:rPr>
        <w:t xml:space="preserve"> tim</w:t>
      </w:r>
      <w:r w:rsidR="00C93523">
        <w:rPr>
          <w:rFonts w:cstheme="minorHAnsi"/>
        </w:rPr>
        <w:t xml:space="preserve">e and effort by stakeholders to overcome the </w:t>
      </w:r>
      <w:r w:rsidR="00835E92">
        <w:rPr>
          <w:rFonts w:cstheme="minorHAnsi"/>
        </w:rPr>
        <w:t xml:space="preserve">many </w:t>
      </w:r>
      <w:r w:rsidR="00C93523">
        <w:rPr>
          <w:rFonts w:cstheme="minorHAnsi"/>
        </w:rPr>
        <w:t>challenges to achieve this goal</w:t>
      </w:r>
      <w:r w:rsidRPr="00F23F93">
        <w:rPr>
          <w:rFonts w:cstheme="minorHAnsi"/>
        </w:rPr>
        <w:t>.</w:t>
      </w:r>
      <w:r w:rsidR="00FF671E">
        <w:rPr>
          <w:rFonts w:cstheme="minorHAnsi"/>
        </w:rPr>
        <w:t xml:space="preserve"> </w:t>
      </w:r>
      <w:r w:rsidR="00D376FA">
        <w:rPr>
          <w:rFonts w:cstheme="minorHAnsi"/>
        </w:rPr>
        <w:t xml:space="preserve"> </w:t>
      </w:r>
    </w:p>
    <w:p w14:paraId="741610B1" w14:textId="77777777" w:rsidR="00B16233" w:rsidRPr="00C128CE" w:rsidRDefault="00C93523" w:rsidP="006C0CEE">
      <w:pPr>
        <w:tabs>
          <w:tab w:val="num" w:pos="720"/>
        </w:tabs>
        <w:spacing w:after="120"/>
      </w:pPr>
      <w:r>
        <w:rPr>
          <w:rFonts w:cstheme="minorHAnsi"/>
        </w:rPr>
        <w:t>I</w:t>
      </w:r>
      <w:r w:rsidR="009A075B" w:rsidRPr="00C0342C">
        <w:t xml:space="preserve">ndustry </w:t>
      </w:r>
      <w:r w:rsidR="00835E92">
        <w:t xml:space="preserve">support and </w:t>
      </w:r>
      <w:r w:rsidR="009A075B">
        <w:t>e</w:t>
      </w:r>
      <w:r w:rsidR="009A075B" w:rsidRPr="00C0342C">
        <w:t xml:space="preserve">ngagement </w:t>
      </w:r>
      <w:r w:rsidR="009A075B">
        <w:t>with the Pharmacop</w:t>
      </w:r>
      <w:r w:rsidR="00464C9A">
        <w:t>o</w:t>
      </w:r>
      <w:r w:rsidR="009A075B">
        <w:t>eia</w:t>
      </w:r>
      <w:r w:rsidR="00835E92">
        <w:t>s</w:t>
      </w:r>
      <w:r w:rsidR="009A075B">
        <w:t xml:space="preserve"> is critical to </w:t>
      </w:r>
      <w:r w:rsidR="00835E92">
        <w:t>make</w:t>
      </w:r>
      <w:r w:rsidR="009A075B">
        <w:t xml:space="preserve"> progress towards </w:t>
      </w:r>
      <w:r w:rsidR="00835E92">
        <w:t xml:space="preserve">harmonisation and/or </w:t>
      </w:r>
      <w:r w:rsidR="009A075B">
        <w:t xml:space="preserve">convergence of pharmacopoeial requirements, </w:t>
      </w:r>
      <w:r w:rsidR="009A075B" w:rsidRPr="00835E92">
        <w:t xml:space="preserve">and </w:t>
      </w:r>
      <w:r w:rsidR="00835E92">
        <w:t>t</w:t>
      </w:r>
      <w:r w:rsidR="00B16233" w:rsidRPr="00C93523">
        <w:t xml:space="preserve">his paper outlines </w:t>
      </w:r>
      <w:r w:rsidR="005A4C68" w:rsidRPr="00C93523">
        <w:t>E</w:t>
      </w:r>
      <w:r w:rsidR="00364F8C" w:rsidRPr="00835E92">
        <w:t>FPIA</w:t>
      </w:r>
      <w:r w:rsidR="00835E92">
        <w:t>’s</w:t>
      </w:r>
      <w:r w:rsidR="005A4C68" w:rsidRPr="00835E92">
        <w:t xml:space="preserve"> </w:t>
      </w:r>
      <w:r w:rsidR="00835E92" w:rsidRPr="00C93523">
        <w:t xml:space="preserve">key messages and recommendations to promote </w:t>
      </w:r>
      <w:r w:rsidR="00835E92">
        <w:t xml:space="preserve">these efforts </w:t>
      </w:r>
      <w:r w:rsidR="00835E92" w:rsidRPr="00C93523">
        <w:t>in the short to medium term</w:t>
      </w:r>
      <w:r w:rsidR="00835E92">
        <w:t>.</w:t>
      </w:r>
    </w:p>
    <w:p w14:paraId="0D8B4666" w14:textId="77777777" w:rsidR="00EB70A0" w:rsidRPr="00D235EE" w:rsidRDefault="00EB70A0" w:rsidP="00C05A4F">
      <w:pPr>
        <w:spacing w:after="120"/>
        <w:rPr>
          <w:b/>
        </w:rPr>
      </w:pPr>
      <w:r w:rsidRPr="00D235EE">
        <w:rPr>
          <w:b/>
        </w:rPr>
        <w:t>Pharmacopoeial Requirements</w:t>
      </w:r>
    </w:p>
    <w:p w14:paraId="33186057" w14:textId="77777777" w:rsidR="00673925" w:rsidRDefault="00673925" w:rsidP="00C05A4F">
      <w:pPr>
        <w:tabs>
          <w:tab w:val="num" w:pos="720"/>
        </w:tabs>
        <w:spacing w:after="120"/>
        <w:rPr>
          <w:rFonts w:cstheme="minorHAnsi"/>
        </w:rPr>
      </w:pPr>
      <w:r w:rsidRPr="00607205">
        <w:rPr>
          <w:rFonts w:cstheme="minorHAnsi"/>
        </w:rPr>
        <w:t xml:space="preserve">It is generally recognized that </w:t>
      </w:r>
      <w:r>
        <w:rPr>
          <w:rFonts w:cstheme="minorHAnsi"/>
        </w:rPr>
        <w:t>divergent</w:t>
      </w:r>
      <w:r w:rsidRPr="00607205">
        <w:rPr>
          <w:rFonts w:cstheme="minorHAnsi"/>
        </w:rPr>
        <w:t xml:space="preserve"> pharmacopoeial requirements can result in </w:t>
      </w:r>
      <w:r>
        <w:rPr>
          <w:rFonts w:cstheme="minorHAnsi"/>
        </w:rPr>
        <w:t xml:space="preserve">the need to source different grades of raw materials, and for QC labs to perform </w:t>
      </w:r>
      <w:r w:rsidRPr="00607205">
        <w:rPr>
          <w:rFonts w:cstheme="minorHAnsi"/>
        </w:rPr>
        <w:t>duplicative, redundant testing of materials or products using different methods</w:t>
      </w:r>
      <w:r>
        <w:rPr>
          <w:rFonts w:cstheme="minorHAnsi"/>
        </w:rPr>
        <w:t>,</w:t>
      </w:r>
      <w:r w:rsidRPr="00607205">
        <w:rPr>
          <w:rFonts w:cstheme="minorHAnsi"/>
        </w:rPr>
        <w:t xml:space="preserve"> in order to satisfy different but similar requirements. </w:t>
      </w:r>
      <w:r>
        <w:rPr>
          <w:rFonts w:cstheme="minorHAnsi"/>
        </w:rPr>
        <w:t>A</w:t>
      </w:r>
      <w:r w:rsidRPr="00607205">
        <w:rPr>
          <w:rFonts w:cstheme="minorHAnsi"/>
        </w:rPr>
        <w:t xml:space="preserve">dditional time and resources </w:t>
      </w:r>
      <w:r>
        <w:rPr>
          <w:rFonts w:cstheme="minorHAnsi"/>
        </w:rPr>
        <w:t>must be</w:t>
      </w:r>
      <w:r w:rsidRPr="00607205">
        <w:rPr>
          <w:rFonts w:cstheme="minorHAnsi"/>
        </w:rPr>
        <w:t xml:space="preserve"> expended to meet these </w:t>
      </w:r>
      <w:r w:rsidR="007E0DDD">
        <w:rPr>
          <w:rFonts w:cstheme="minorHAnsi"/>
        </w:rPr>
        <w:t xml:space="preserve">different </w:t>
      </w:r>
      <w:r w:rsidRPr="00607205">
        <w:rPr>
          <w:rFonts w:cstheme="minorHAnsi"/>
        </w:rPr>
        <w:t>requirements</w:t>
      </w:r>
      <w:r>
        <w:rPr>
          <w:rFonts w:cstheme="minorHAnsi"/>
        </w:rPr>
        <w:t xml:space="preserve"> </w:t>
      </w:r>
      <w:r w:rsidRPr="00607205">
        <w:rPr>
          <w:rFonts w:cstheme="minorHAnsi"/>
        </w:rPr>
        <w:t>without providing improvements to the quality, safety or efficacy of the product</w:t>
      </w:r>
      <w:r>
        <w:t>.</w:t>
      </w:r>
    </w:p>
    <w:p w14:paraId="4934C6AB" w14:textId="77777777" w:rsidR="00EB70A0" w:rsidRDefault="007E0DDD" w:rsidP="00C05A4F">
      <w:pPr>
        <w:tabs>
          <w:tab w:val="num" w:pos="720"/>
        </w:tabs>
        <w:spacing w:after="120"/>
        <w:rPr>
          <w:rFonts w:cstheme="minorHAnsi"/>
        </w:rPr>
      </w:pPr>
      <w:r w:rsidRPr="00835E92">
        <w:rPr>
          <w:rFonts w:cstheme="minorHAnsi"/>
        </w:rPr>
        <w:lastRenderedPageBreak/>
        <w:t>Some p</w:t>
      </w:r>
      <w:r w:rsidR="00EB70A0" w:rsidRPr="00835E92">
        <w:rPr>
          <w:rFonts w:cstheme="minorHAnsi"/>
        </w:rPr>
        <w:t xml:space="preserve">harmacopoeias </w:t>
      </w:r>
      <w:r w:rsidRPr="00835E92">
        <w:rPr>
          <w:rFonts w:cstheme="minorHAnsi"/>
        </w:rPr>
        <w:t xml:space="preserve">may </w:t>
      </w:r>
      <w:r w:rsidR="00EB70A0" w:rsidRPr="00835E92">
        <w:rPr>
          <w:rFonts w:cstheme="minorHAnsi"/>
        </w:rPr>
        <w:t xml:space="preserve">have established practices and policies that can present challenges </w:t>
      </w:r>
      <w:r w:rsidR="00F44409" w:rsidRPr="00835E92">
        <w:rPr>
          <w:rFonts w:cstheme="minorHAnsi"/>
        </w:rPr>
        <w:t>when</w:t>
      </w:r>
      <w:r w:rsidR="00EB70A0" w:rsidRPr="00835E92">
        <w:rPr>
          <w:rFonts w:cstheme="minorHAnsi"/>
        </w:rPr>
        <w:t xml:space="preserve"> developing harmonised text for monographs or general chapters. </w:t>
      </w:r>
      <w:r w:rsidR="005A6D92" w:rsidRPr="00835E92">
        <w:rPr>
          <w:rFonts w:cstheme="minorHAnsi"/>
        </w:rPr>
        <w:t>It should also be recognised that fully harmonised content across the pharmacopoeias may reduce the need for users to purchase a particular pharmacopoeia</w:t>
      </w:r>
      <w:r w:rsidR="000B74FC">
        <w:rPr>
          <w:rFonts w:cstheme="minorHAnsi"/>
        </w:rPr>
        <w:t>, potentially adversely impacting the ability of pharmacopoeial authorities to sustain their activities in developing and maintaining standards to protect public health</w:t>
      </w:r>
      <w:r w:rsidR="005A6D92" w:rsidRPr="00835E92">
        <w:rPr>
          <w:rFonts w:cstheme="minorHAnsi"/>
        </w:rPr>
        <w:t>.</w:t>
      </w:r>
      <w:r w:rsidR="00EB70A0">
        <w:rPr>
          <w:rFonts w:cstheme="minorHAnsi"/>
        </w:rPr>
        <w:t xml:space="preserve"> While harmonised text is the ideal, a</w:t>
      </w:r>
      <w:r w:rsidR="00EB70A0" w:rsidRPr="00BE0D7B">
        <w:rPr>
          <w:rFonts w:cstheme="minorHAnsi"/>
        </w:rPr>
        <w:t>lignment of analytical procedures</w:t>
      </w:r>
      <w:r w:rsidR="00401794">
        <w:rPr>
          <w:rFonts w:cstheme="minorHAnsi"/>
        </w:rPr>
        <w:t>/</w:t>
      </w:r>
      <w:r w:rsidR="00EB70A0">
        <w:rPr>
          <w:rFonts w:cstheme="minorHAnsi"/>
        </w:rPr>
        <w:t xml:space="preserve"> methodolog</w:t>
      </w:r>
      <w:r w:rsidR="00401794">
        <w:rPr>
          <w:rFonts w:cstheme="minorHAnsi"/>
        </w:rPr>
        <w:t>y</w:t>
      </w:r>
      <w:r w:rsidR="00EB70A0" w:rsidRPr="00BE0D7B">
        <w:rPr>
          <w:rFonts w:cstheme="minorHAnsi"/>
        </w:rPr>
        <w:t xml:space="preserve"> and </w:t>
      </w:r>
      <w:r w:rsidR="00401794">
        <w:rPr>
          <w:rFonts w:cstheme="minorHAnsi"/>
        </w:rPr>
        <w:t xml:space="preserve">the </w:t>
      </w:r>
      <w:r w:rsidR="00EB70A0" w:rsidRPr="00BE0D7B">
        <w:rPr>
          <w:rFonts w:cstheme="minorHAnsi"/>
        </w:rPr>
        <w:t xml:space="preserve">acceptance </w:t>
      </w:r>
      <w:r w:rsidR="00C43089" w:rsidRPr="00BE0D7B">
        <w:rPr>
          <w:rFonts w:cstheme="minorHAnsi"/>
        </w:rPr>
        <w:t>criteria</w:t>
      </w:r>
      <w:r w:rsidR="00EB70A0" w:rsidRPr="00BE0D7B">
        <w:rPr>
          <w:rFonts w:cstheme="minorHAnsi"/>
        </w:rPr>
        <w:t xml:space="preserve"> </w:t>
      </w:r>
      <w:r w:rsidR="00401794">
        <w:rPr>
          <w:rFonts w:cstheme="minorHAnsi"/>
        </w:rPr>
        <w:t>(where this is possible) may be sufficient</w:t>
      </w:r>
      <w:r w:rsidR="00EB70A0" w:rsidRPr="00BE0D7B">
        <w:rPr>
          <w:rFonts w:cstheme="minorHAnsi"/>
        </w:rPr>
        <w:t xml:space="preserve"> to avoid </w:t>
      </w:r>
      <w:r w:rsidR="00EB70A0">
        <w:rPr>
          <w:rFonts w:cstheme="minorHAnsi"/>
        </w:rPr>
        <w:t xml:space="preserve">the need for </w:t>
      </w:r>
      <w:r w:rsidR="00EB70A0" w:rsidRPr="00BE0D7B">
        <w:rPr>
          <w:rFonts w:cstheme="minorHAnsi"/>
        </w:rPr>
        <w:t xml:space="preserve">multiple testing of the same </w:t>
      </w:r>
      <w:r w:rsidR="00EB70A0">
        <w:rPr>
          <w:rFonts w:cstheme="minorHAnsi"/>
        </w:rPr>
        <w:t>drug substance, drug product, or excipient etc.</w:t>
      </w:r>
      <w:r w:rsidR="00EB70A0" w:rsidRPr="00BE0D7B">
        <w:rPr>
          <w:rFonts w:cstheme="minorHAnsi"/>
        </w:rPr>
        <w:t xml:space="preserve"> to meet different pharmacopoeial requirements</w:t>
      </w:r>
      <w:r w:rsidR="00EB70A0">
        <w:rPr>
          <w:rFonts w:cstheme="minorHAnsi"/>
        </w:rPr>
        <w:t>.</w:t>
      </w:r>
      <w:r w:rsidR="00743F0D">
        <w:rPr>
          <w:rFonts w:cstheme="minorHAnsi"/>
        </w:rPr>
        <w:t xml:space="preserve"> </w:t>
      </w:r>
      <w:r w:rsidR="00FF671E">
        <w:rPr>
          <w:rFonts w:cstheme="minorHAnsi"/>
        </w:rPr>
        <w:t>Over time</w:t>
      </w:r>
      <w:r w:rsidR="00600FDD">
        <w:rPr>
          <w:rFonts w:cstheme="minorHAnsi"/>
        </w:rPr>
        <w:t>,</w:t>
      </w:r>
      <w:r w:rsidR="00FF671E">
        <w:rPr>
          <w:rFonts w:cstheme="minorHAnsi"/>
        </w:rPr>
        <w:t xml:space="preserve"> the revision of monographs etc. can provide opportunities for convergence of standards: a pharmacopoeial authority could choose to adopt an analytical procedure and/or acceptance criteria from another internationally-recognised pharmacopoeia, rather than continuing with dis-harmonised procedures and requirements. </w:t>
      </w:r>
      <w:r w:rsidR="00464C9A">
        <w:rPr>
          <w:rFonts w:cstheme="minorHAnsi"/>
        </w:rPr>
        <w:t>Pharmacopoeias often allow the manufacturer to use</w:t>
      </w:r>
      <w:r w:rsidR="00743F0D">
        <w:rPr>
          <w:rFonts w:cstheme="minorHAnsi"/>
        </w:rPr>
        <w:t xml:space="preserve"> alternative</w:t>
      </w:r>
      <w:r w:rsidR="00464C9A">
        <w:rPr>
          <w:rFonts w:cstheme="minorHAnsi"/>
        </w:rPr>
        <w:t>, equivalent analytical</w:t>
      </w:r>
      <w:r w:rsidR="00743F0D">
        <w:rPr>
          <w:rFonts w:cstheme="minorHAnsi"/>
        </w:rPr>
        <w:t xml:space="preserve"> methods </w:t>
      </w:r>
      <w:r w:rsidR="00464C9A">
        <w:rPr>
          <w:rFonts w:cstheme="minorHAnsi"/>
        </w:rPr>
        <w:t xml:space="preserve">to test the product, and this flexibility </w:t>
      </w:r>
      <w:r w:rsidR="00743F0D">
        <w:rPr>
          <w:rFonts w:cstheme="minorHAnsi"/>
        </w:rPr>
        <w:t xml:space="preserve">may allow the manufacturer to </w:t>
      </w:r>
      <w:r w:rsidR="00464C9A">
        <w:rPr>
          <w:rFonts w:cstheme="minorHAnsi"/>
        </w:rPr>
        <w:t xml:space="preserve">demonstrate compliance with multiple, different </w:t>
      </w:r>
      <w:r w:rsidR="00743F0D" w:rsidRPr="00BE0D7B">
        <w:rPr>
          <w:rFonts w:cstheme="minorHAnsi"/>
        </w:rPr>
        <w:t>pharmacopoeial requirements</w:t>
      </w:r>
      <w:r w:rsidR="00464C9A">
        <w:rPr>
          <w:rFonts w:cstheme="minorHAnsi"/>
        </w:rPr>
        <w:t xml:space="preserve"> for a quality attribute with a single test</w:t>
      </w:r>
      <w:r w:rsidR="00743F0D">
        <w:rPr>
          <w:rFonts w:cstheme="minorHAnsi"/>
        </w:rPr>
        <w:t>.</w:t>
      </w:r>
    </w:p>
    <w:p w14:paraId="08B65887" w14:textId="77777777" w:rsidR="00667402" w:rsidRPr="003D4372" w:rsidRDefault="002D028A" w:rsidP="00667402">
      <w:pPr>
        <w:pStyle w:val="NormalWeb"/>
        <w:spacing w:before="0" w:beforeAutospacing="0" w:after="0" w:afterAutospacing="0"/>
        <w:rPr>
          <w:rFonts w:asciiTheme="minorHAnsi" w:eastAsiaTheme="minorHAnsi" w:hAnsiTheme="minorHAnsi" w:cstheme="minorHAnsi"/>
          <w:sz w:val="22"/>
          <w:szCs w:val="22"/>
          <w:lang w:val="en-GB" w:eastAsia="en-US"/>
        </w:rPr>
      </w:pPr>
      <w:r w:rsidRPr="003D4372">
        <w:rPr>
          <w:rFonts w:asciiTheme="minorHAnsi" w:eastAsiaTheme="minorHAnsi" w:hAnsiTheme="minorHAnsi" w:cstheme="minorHAnsi"/>
          <w:sz w:val="22"/>
          <w:szCs w:val="22"/>
          <w:lang w:val="en-GB" w:eastAsia="en-US"/>
        </w:rPr>
        <w:t>Where harmonised international standards have been developed</w:t>
      </w:r>
      <w:r w:rsidR="00E03A62" w:rsidRPr="003D4372">
        <w:rPr>
          <w:rFonts w:asciiTheme="minorHAnsi" w:eastAsiaTheme="minorHAnsi" w:hAnsiTheme="minorHAnsi" w:cstheme="minorHAnsi"/>
          <w:sz w:val="22"/>
          <w:szCs w:val="22"/>
          <w:lang w:val="en-GB" w:eastAsia="en-US"/>
        </w:rPr>
        <w:t xml:space="preserve"> (e.g.</w:t>
      </w:r>
      <w:r w:rsidR="00667402" w:rsidRPr="003D4372">
        <w:rPr>
          <w:rFonts w:asciiTheme="minorHAnsi" w:eastAsiaTheme="minorHAnsi" w:hAnsiTheme="minorHAnsi" w:cstheme="minorHAnsi"/>
          <w:sz w:val="22"/>
          <w:szCs w:val="22"/>
          <w:lang w:val="en-GB" w:eastAsia="en-US"/>
        </w:rPr>
        <w:t xml:space="preserve"> through the International Council for Harmonisation of Technical Requirements for Pharmaceuticals for Human Use (ICH))</w:t>
      </w:r>
    </w:p>
    <w:p w14:paraId="566EF4AE" w14:textId="6DD350B0" w:rsidR="00673925" w:rsidRDefault="00E03A62" w:rsidP="00C05A4F">
      <w:pPr>
        <w:spacing w:after="120"/>
      </w:pPr>
      <w:r>
        <w:t xml:space="preserve"> </w:t>
      </w:r>
      <w:r w:rsidR="002D028A">
        <w:t xml:space="preserve"> it is important that pharmacopoeias adopt these standards rather than developing their own, or seeking to expand or </w:t>
      </w:r>
      <w:r w:rsidR="006F7C62">
        <w:t>add to</w:t>
      </w:r>
      <w:r w:rsidR="002D028A">
        <w:t xml:space="preserve"> the requirements</w:t>
      </w:r>
      <w:r w:rsidR="00594CD2">
        <w:t xml:space="preserve"> in these standards</w:t>
      </w:r>
    </w:p>
    <w:p w14:paraId="79AD958B" w14:textId="77777777" w:rsidR="005713EA" w:rsidRPr="00352CA9" w:rsidRDefault="005713EA" w:rsidP="005713EA">
      <w:pPr>
        <w:spacing w:after="120"/>
        <w:rPr>
          <w:u w:val="single"/>
        </w:rPr>
      </w:pPr>
      <w:r w:rsidRPr="00352CA9">
        <w:rPr>
          <w:u w:val="single"/>
        </w:rPr>
        <w:t>General chapters</w:t>
      </w:r>
    </w:p>
    <w:p w14:paraId="134EE9A3" w14:textId="77777777" w:rsidR="009A075B" w:rsidRDefault="005713EA" w:rsidP="009A075B">
      <w:pPr>
        <w:spacing w:after="120"/>
      </w:pPr>
      <w:r>
        <w:t xml:space="preserve"> </w:t>
      </w:r>
      <w:r w:rsidR="00DA6E3C">
        <w:t>‘G</w:t>
      </w:r>
      <w:r w:rsidR="00F81FE0" w:rsidRPr="00BE0D7B">
        <w:t>eneral chapters</w:t>
      </w:r>
      <w:r w:rsidR="00DA6E3C">
        <w:t>’ in pharmacopoeias are usually applicable to a range of materials or products and therefore it is critical that they reflect the state of the industry. Any</w:t>
      </w:r>
      <w:r w:rsidR="00F81FE0" w:rsidRPr="00BE0D7B">
        <w:t xml:space="preserve"> technology</w:t>
      </w:r>
      <w:r w:rsidR="00DA6E3C">
        <w:t xml:space="preserve"> cited</w:t>
      </w:r>
      <w:r w:rsidR="00F81FE0" w:rsidRPr="00BE0D7B">
        <w:t xml:space="preserve"> should</w:t>
      </w:r>
      <w:r w:rsidR="00DA6E3C">
        <w:t>, as far as possible,</w:t>
      </w:r>
      <w:r w:rsidR="00F81FE0" w:rsidRPr="00BE0D7B">
        <w:t xml:space="preserve"> be well</w:t>
      </w:r>
      <w:r w:rsidR="00DA6E3C">
        <w:t>-</w:t>
      </w:r>
      <w:r w:rsidR="00F81FE0" w:rsidRPr="00BE0D7B">
        <w:t>established</w:t>
      </w:r>
      <w:r w:rsidR="00DA6E3C" w:rsidRPr="00DA6E3C">
        <w:t xml:space="preserve"> </w:t>
      </w:r>
      <w:r w:rsidR="00DA6E3C">
        <w:t xml:space="preserve">i.e. reflecting </w:t>
      </w:r>
      <w:r w:rsidR="00DA6E3C" w:rsidRPr="00BE0D7B">
        <w:t>common manufacturing laboratory equipment</w:t>
      </w:r>
      <w:r w:rsidR="00DA6E3C">
        <w:t>, with agreed methodology and/or best practices. Careful consideration needs to be given with the introduction of new technology or requirements to allow sufficient time for implementation by industry around the world.</w:t>
      </w:r>
      <w:r w:rsidR="009A075B">
        <w:t xml:space="preserve"> Unlike individual monographs, which may be relevant to only a few companies, the need for agreement on the general chapters across the industry is very important</w:t>
      </w:r>
      <w:r w:rsidR="000B74FC">
        <w:t xml:space="preserve"> and trade associations, such as Efpia, can enable industry to develop consensus positions and ensure that the most appropriate science is applied.</w:t>
      </w:r>
    </w:p>
    <w:p w14:paraId="5565DAAB" w14:textId="77777777" w:rsidR="005713EA" w:rsidRPr="00352CA9" w:rsidRDefault="00352CA9" w:rsidP="00C05A4F">
      <w:pPr>
        <w:spacing w:after="120"/>
        <w:rPr>
          <w:u w:val="single"/>
        </w:rPr>
      </w:pPr>
      <w:r>
        <w:rPr>
          <w:u w:val="single"/>
        </w:rPr>
        <w:t xml:space="preserve">Monographs for Pharmaceutical </w:t>
      </w:r>
      <w:r w:rsidR="005713EA" w:rsidRPr="00352CA9">
        <w:rPr>
          <w:u w:val="single"/>
        </w:rPr>
        <w:t>Substances</w:t>
      </w:r>
      <w:r>
        <w:rPr>
          <w:u w:val="single"/>
        </w:rPr>
        <w:t xml:space="preserve"> and Formulated Preparations</w:t>
      </w:r>
    </w:p>
    <w:p w14:paraId="3F82C4C3" w14:textId="479EC2D6" w:rsidR="00E3072A" w:rsidRDefault="00594CD2" w:rsidP="00C05A4F">
      <w:pPr>
        <w:spacing w:after="120"/>
      </w:pPr>
      <w:r>
        <w:t xml:space="preserve">When monographs on materials or products are developed by the pharmacopoeias it is important that registered specifications and industry experience </w:t>
      </w:r>
      <w:r w:rsidR="00F81FE0">
        <w:t>are considered</w:t>
      </w:r>
      <w:r>
        <w:t xml:space="preserve"> to ensure that the monograph is of high quality. </w:t>
      </w:r>
      <w:r w:rsidR="00B446B0">
        <w:t>To be useful as a ‘p</w:t>
      </w:r>
      <w:r w:rsidR="00B446B0" w:rsidRPr="00391F4E">
        <w:t>ublic standard</w:t>
      </w:r>
      <w:r w:rsidR="00B446B0">
        <w:t>’</w:t>
      </w:r>
      <w:r w:rsidR="00731A36">
        <w:t>,</w:t>
      </w:r>
      <w:r w:rsidR="00B446B0">
        <w:t xml:space="preserve"> monographs for </w:t>
      </w:r>
      <w:r w:rsidR="00731A36">
        <w:t>‘</w:t>
      </w:r>
      <w:r w:rsidR="00B446B0">
        <w:t>new</w:t>
      </w:r>
      <w:r w:rsidR="00731A36">
        <w:t>’</w:t>
      </w:r>
      <w:r w:rsidR="00B446B0">
        <w:t xml:space="preserve"> active </w:t>
      </w:r>
      <w:r w:rsidR="00731A36">
        <w:t xml:space="preserve">pharmaceutical </w:t>
      </w:r>
      <w:r w:rsidR="00B446B0">
        <w:t xml:space="preserve">substances </w:t>
      </w:r>
      <w:r w:rsidR="00731A36">
        <w:t xml:space="preserve">and/or drug products (Formulated Preparations) that will come into effect soon after loss of patent exclusivity should be developed by the pharmacopoeial authority with input from the innovator company. Monographs </w:t>
      </w:r>
      <w:r w:rsidR="00B446B0">
        <w:t xml:space="preserve">should not create or preserve a monopoly for supply of a material or product (i.e. </w:t>
      </w:r>
      <w:r w:rsidR="00E3072A">
        <w:t>the monograph requirements are</w:t>
      </w:r>
      <w:r w:rsidR="00B446B0">
        <w:t xml:space="preserve"> anti-competitive)</w:t>
      </w:r>
      <w:r w:rsidR="00731A36">
        <w:t xml:space="preserve"> and therefore the d</w:t>
      </w:r>
      <w:r w:rsidRPr="00391F4E">
        <w:t xml:space="preserve">evelopment </w:t>
      </w:r>
      <w:r w:rsidR="00217F2A">
        <w:t xml:space="preserve">of monographs </w:t>
      </w:r>
      <w:r w:rsidR="00731A36">
        <w:t xml:space="preserve">for inactive substances/materials and existing generic products </w:t>
      </w:r>
      <w:r w:rsidR="00217F2A">
        <w:t xml:space="preserve">should </w:t>
      </w:r>
      <w:r w:rsidR="00F81FE0">
        <w:t xml:space="preserve">take into account </w:t>
      </w:r>
      <w:r w:rsidR="00731A36">
        <w:t xml:space="preserve">the specifications from </w:t>
      </w:r>
      <w:r w:rsidRPr="00391F4E">
        <w:t xml:space="preserve">multiple </w:t>
      </w:r>
      <w:r w:rsidR="00E3072A">
        <w:t>suppliers wherever possible.</w:t>
      </w:r>
      <w:r w:rsidR="00F81FE0">
        <w:t xml:space="preserve"> </w:t>
      </w:r>
      <w:r w:rsidRPr="00391F4E">
        <w:t xml:space="preserve"> </w:t>
      </w:r>
      <w:r w:rsidR="00E3072A">
        <w:t xml:space="preserve">The content of pharmacopoeial monographs may change over time as a result of market developments, new safety information, technological developments </w:t>
      </w:r>
      <w:proofErr w:type="gramStart"/>
      <w:r w:rsidR="00E3072A">
        <w:t>etc..</w:t>
      </w:r>
      <w:proofErr w:type="gramEnd"/>
      <w:r w:rsidR="00E3072A">
        <w:t xml:space="preserve"> However, it is important to </w:t>
      </w:r>
      <w:r w:rsidRPr="00391F4E">
        <w:t xml:space="preserve">avoid </w:t>
      </w:r>
      <w:r w:rsidR="00F81FE0">
        <w:t xml:space="preserve">potentially </w:t>
      </w:r>
      <w:r w:rsidR="00427CB4">
        <w:t>affecting</w:t>
      </w:r>
      <w:r w:rsidR="00F81FE0">
        <w:t xml:space="preserve"> product</w:t>
      </w:r>
      <w:r w:rsidRPr="00391F4E">
        <w:t xml:space="preserve"> availability</w:t>
      </w:r>
      <w:r w:rsidR="00F81FE0">
        <w:t xml:space="preserve">, </w:t>
      </w:r>
      <w:r w:rsidR="00352CA9">
        <w:t xml:space="preserve">for example </w:t>
      </w:r>
      <w:r w:rsidR="00F81FE0">
        <w:t>through the imposition of tighter acceptance criteria</w:t>
      </w:r>
      <w:r w:rsidR="00352CA9">
        <w:t xml:space="preserve"> than those of the innovator product</w:t>
      </w:r>
      <w:r w:rsidR="00E3072A">
        <w:t>, unless this</w:t>
      </w:r>
      <w:r w:rsidR="00667402">
        <w:t xml:space="preserve"> is</w:t>
      </w:r>
      <w:r w:rsidR="00E3072A">
        <w:t xml:space="preserve"> linked to a need to protect public health.</w:t>
      </w:r>
      <w:r w:rsidR="00352CA9" w:rsidRPr="00391F4E" w:rsidDel="00352CA9">
        <w:t xml:space="preserve"> </w:t>
      </w:r>
    </w:p>
    <w:p w14:paraId="16C3433C" w14:textId="77777777" w:rsidR="00451010" w:rsidRDefault="00451010" w:rsidP="00C05A4F">
      <w:pPr>
        <w:spacing w:after="120"/>
      </w:pPr>
      <w:r>
        <w:lastRenderedPageBreak/>
        <w:t xml:space="preserve">It is important to build flexibility into the pharmacopoeias where appropriate, and many pharmacopoeias allow the use of alternative methods. </w:t>
      </w:r>
      <w:r w:rsidR="00E3072A">
        <w:t>Where allowed by regulations, s</w:t>
      </w:r>
      <w:r>
        <w:t>ome manufacturers make use of this to apply one suitably qualified methodology across multiple pharmacopoeias, thereby avoiding the need for multiple different tests</w:t>
      </w:r>
      <w:r w:rsidR="0059005E">
        <w:t xml:space="preserve"> for the same </w:t>
      </w:r>
      <w:r w:rsidR="00F7141B">
        <w:t>quality attribute</w:t>
      </w:r>
      <w:r>
        <w:t xml:space="preserve">.  </w:t>
      </w:r>
      <w:r w:rsidRPr="00C0342C">
        <w:t xml:space="preserve">  </w:t>
      </w:r>
    </w:p>
    <w:p w14:paraId="5BF718D5" w14:textId="77777777" w:rsidR="00EB70A0" w:rsidRDefault="005C0C2B" w:rsidP="00C05A4F">
      <w:pPr>
        <w:spacing w:after="120"/>
      </w:pPr>
      <w:r>
        <w:t>Pharmacopoeial</w:t>
      </w:r>
      <w:r w:rsidR="00EB70A0">
        <w:t xml:space="preserve"> standards should </w:t>
      </w:r>
      <w:r>
        <w:t xml:space="preserve">not </w:t>
      </w:r>
      <w:r w:rsidR="00EB70A0">
        <w:t>remain static</w:t>
      </w:r>
      <w:r>
        <w:t xml:space="preserve"> and unchanging, but should evolve to take account of scientific advances and increased understanding</w:t>
      </w:r>
      <w:r w:rsidR="00EB70A0">
        <w:t xml:space="preserve">. When developing new or revised standards the </w:t>
      </w:r>
      <w:r>
        <w:t xml:space="preserve">pharmacopoeial </w:t>
      </w:r>
      <w:r w:rsidR="00EB70A0">
        <w:t xml:space="preserve">commissions should </w:t>
      </w:r>
      <w:r>
        <w:t>consider</w:t>
      </w:r>
      <w:r w:rsidR="00EB70A0">
        <w:t xml:space="preserve"> </w:t>
      </w:r>
      <w:r>
        <w:t>emerging scientific and regulatory developments</w:t>
      </w:r>
      <w:r w:rsidR="00EB70A0">
        <w:t xml:space="preserve"> and </w:t>
      </w:r>
      <w:r>
        <w:t>incorporate technological advances when the technology is sufficiently mature.</w:t>
      </w:r>
      <w:r w:rsidR="00EB70A0">
        <w:t xml:space="preserve"> </w:t>
      </w:r>
      <w:r>
        <w:t>C</w:t>
      </w:r>
      <w:r w:rsidR="00EB70A0">
        <w:t>onsultation and collaboration</w:t>
      </w:r>
      <w:r>
        <w:t xml:space="preserve"> with industry is essential for this to be done effectively, and any existing </w:t>
      </w:r>
      <w:r w:rsidR="006975ED">
        <w:t>pharmacopoeial</w:t>
      </w:r>
      <w:r>
        <w:t xml:space="preserve"> and regulatory requirements should be considered </w:t>
      </w:r>
    </w:p>
    <w:p w14:paraId="31807A86" w14:textId="77777777" w:rsidR="00F507FB" w:rsidRDefault="005A6D92" w:rsidP="00C05A4F">
      <w:pPr>
        <w:spacing w:after="120"/>
      </w:pPr>
      <w:r>
        <w:t>The scope of standards included in the pharmacopoeias also needs consideration. For example, t</w:t>
      </w:r>
      <w:r w:rsidR="00EB70A0" w:rsidRPr="00391F4E">
        <w:t>here has been an increase in the development and inclusion of GMP</w:t>
      </w:r>
      <w:r>
        <w:t>-related</w:t>
      </w:r>
      <w:r w:rsidR="00EB70A0" w:rsidRPr="00391F4E">
        <w:t xml:space="preserve"> requirements in </w:t>
      </w:r>
      <w:r w:rsidR="00EB70A0">
        <w:t xml:space="preserve">some </w:t>
      </w:r>
      <w:r w:rsidR="00EB70A0" w:rsidRPr="00391F4E">
        <w:t>Pharmacopoeia</w:t>
      </w:r>
      <w:r>
        <w:t xml:space="preserve">s, which can lead to </w:t>
      </w:r>
      <w:r w:rsidR="00EB70A0">
        <w:t xml:space="preserve">redundant/duplicative/conflicting </w:t>
      </w:r>
      <w:r w:rsidR="006975ED">
        <w:t>pharmacopoeial</w:t>
      </w:r>
      <w:r w:rsidR="00EB70A0" w:rsidRPr="00391F4E">
        <w:t xml:space="preserve"> and regulatory expectations</w:t>
      </w:r>
      <w:r>
        <w:t xml:space="preserve">. </w:t>
      </w:r>
      <w:r w:rsidR="00EB70A0" w:rsidRPr="00391F4E">
        <w:t xml:space="preserve">In general, </w:t>
      </w:r>
      <w:r>
        <w:t xml:space="preserve">the competent authorities for </w:t>
      </w:r>
      <w:r w:rsidR="00EB70A0" w:rsidRPr="00391F4E">
        <w:t xml:space="preserve">GMP regulations </w:t>
      </w:r>
      <w:r>
        <w:t xml:space="preserve">are </w:t>
      </w:r>
      <w:r w:rsidR="00EB70A0" w:rsidRPr="00391F4E">
        <w:t xml:space="preserve">government </w:t>
      </w:r>
      <w:r>
        <w:t>regulatory ag</w:t>
      </w:r>
      <w:r w:rsidR="00EB70A0" w:rsidRPr="00391F4E">
        <w:t xml:space="preserve">encies </w:t>
      </w:r>
      <w:r>
        <w:t xml:space="preserve">rather than </w:t>
      </w:r>
      <w:r w:rsidR="00EB70A0" w:rsidRPr="00391F4E">
        <w:t xml:space="preserve">the pharmacopoeias.  </w:t>
      </w:r>
      <w:r w:rsidR="00364F8C" w:rsidRPr="000B74FC">
        <w:t>EFPIA</w:t>
      </w:r>
      <w:r w:rsidR="000B74FC" w:rsidRPr="000B74FC">
        <w:t xml:space="preserve"> believes </w:t>
      </w:r>
      <w:r w:rsidR="00212E7F" w:rsidRPr="00391F4E">
        <w:t>that GM</w:t>
      </w:r>
      <w:r w:rsidR="00F944E1">
        <w:t>D</w:t>
      </w:r>
      <w:r w:rsidR="00212E7F" w:rsidRPr="00391F4E">
        <w:t>P requirements should remain the remit of the regulatory bodies</w:t>
      </w:r>
      <w:r w:rsidR="00212E7F">
        <w:t>, and</w:t>
      </w:r>
      <w:r w:rsidR="00EB70A0" w:rsidRPr="00391F4E">
        <w:t xml:space="preserve"> that the pharmacopoeias should refrain from developing chapters and requirements pertaining to GMP unless specifically mandated by a regulatory agency.  </w:t>
      </w:r>
    </w:p>
    <w:p w14:paraId="28E923AC" w14:textId="77777777" w:rsidR="00946178" w:rsidRPr="00946178" w:rsidRDefault="00946178" w:rsidP="00C05A4F">
      <w:pPr>
        <w:tabs>
          <w:tab w:val="num" w:pos="720"/>
        </w:tabs>
        <w:spacing w:after="120"/>
        <w:rPr>
          <w:rFonts w:cstheme="minorHAnsi"/>
          <w:b/>
        </w:rPr>
      </w:pPr>
      <w:r w:rsidRPr="00946178">
        <w:rPr>
          <w:rFonts w:cstheme="minorHAnsi"/>
          <w:b/>
        </w:rPr>
        <w:t>Regulatory Requirements</w:t>
      </w:r>
    </w:p>
    <w:p w14:paraId="130A51C8" w14:textId="77777777" w:rsidR="00F5654A" w:rsidRDefault="00557CA9" w:rsidP="00C05A4F">
      <w:pPr>
        <w:spacing w:after="120"/>
      </w:pPr>
      <w:r w:rsidRPr="00F5654A">
        <w:t>Pharmacopoeia</w:t>
      </w:r>
      <w:r>
        <w:t>l</w:t>
      </w:r>
      <w:r w:rsidRPr="00F5654A">
        <w:t xml:space="preserve"> requirements</w:t>
      </w:r>
      <w:r>
        <w:t xml:space="preserve"> frequently serve as market standards, enabling an independent</w:t>
      </w:r>
      <w:r w:rsidRPr="00F5654A">
        <w:t xml:space="preserve"> check </w:t>
      </w:r>
      <w:r>
        <w:t>of</w:t>
      </w:r>
      <w:r w:rsidRPr="00F5654A">
        <w:t xml:space="preserve"> the quality </w:t>
      </w:r>
      <w:r>
        <w:t xml:space="preserve">of a commercial product, and </w:t>
      </w:r>
      <w:r>
        <w:rPr>
          <w:rFonts w:cstheme="minorHAnsi"/>
        </w:rPr>
        <w:t>l</w:t>
      </w:r>
      <w:r w:rsidR="00F5654A" w:rsidRPr="00F23F93">
        <w:rPr>
          <w:rFonts w:cstheme="minorHAnsi"/>
        </w:rPr>
        <w:t>ocal regulations often specify compliance with a particular local or regional pharmacopoeia (for example, compliance with Ph.Eur. is a legal requirement defined in Directive 2001/83EC; USP in the US Food Drug &amp; Cosmetic Act 1938)</w:t>
      </w:r>
      <w:r w:rsidR="00F7141B">
        <w:rPr>
          <w:rFonts w:cstheme="minorHAnsi"/>
        </w:rPr>
        <w:t>.</w:t>
      </w:r>
      <w:r>
        <w:rPr>
          <w:rFonts w:cstheme="minorHAnsi"/>
        </w:rPr>
        <w:t xml:space="preserve"> </w:t>
      </w:r>
      <w:r w:rsidR="00F7141B">
        <w:rPr>
          <w:rFonts w:cstheme="minorHAnsi"/>
        </w:rPr>
        <w:t>T</w:t>
      </w:r>
      <w:r w:rsidR="00F5654A" w:rsidRPr="00F23F93">
        <w:rPr>
          <w:rFonts w:cstheme="minorHAnsi"/>
        </w:rPr>
        <w:t>herefore</w:t>
      </w:r>
      <w:r>
        <w:rPr>
          <w:rFonts w:cstheme="minorHAnsi"/>
        </w:rPr>
        <w:t>,</w:t>
      </w:r>
      <w:r w:rsidR="00F5654A" w:rsidRPr="00F23F93">
        <w:rPr>
          <w:rFonts w:cstheme="minorHAnsi"/>
        </w:rPr>
        <w:t xml:space="preserve"> </w:t>
      </w:r>
      <w:r w:rsidR="00F5654A" w:rsidRPr="000B74FC">
        <w:rPr>
          <w:rFonts w:cstheme="minorHAnsi"/>
        </w:rPr>
        <w:t xml:space="preserve">the </w:t>
      </w:r>
      <w:r w:rsidR="000B74FC">
        <w:rPr>
          <w:rFonts w:cstheme="minorHAnsi"/>
        </w:rPr>
        <w:t xml:space="preserve">introduction of </w:t>
      </w:r>
      <w:r w:rsidR="00F5654A" w:rsidRPr="000B74FC">
        <w:rPr>
          <w:rFonts w:cstheme="minorHAnsi"/>
        </w:rPr>
        <w:t>a single</w:t>
      </w:r>
      <w:r w:rsidR="000B74FC">
        <w:rPr>
          <w:rFonts w:cstheme="minorHAnsi"/>
        </w:rPr>
        <w:t>,</w:t>
      </w:r>
      <w:r w:rsidR="00F5654A" w:rsidRPr="000B74FC">
        <w:rPr>
          <w:rFonts w:cstheme="minorHAnsi"/>
        </w:rPr>
        <w:t xml:space="preserve"> global pharmacopoeia </w:t>
      </w:r>
      <w:r w:rsidR="00FF289E" w:rsidRPr="000B74FC">
        <w:rPr>
          <w:rFonts w:cstheme="minorHAnsi"/>
        </w:rPr>
        <w:t>c</w:t>
      </w:r>
      <w:r w:rsidR="00F5654A" w:rsidRPr="000B74FC">
        <w:rPr>
          <w:rFonts w:cstheme="minorHAnsi"/>
        </w:rPr>
        <w:t>ould require a revision to the regulations</w:t>
      </w:r>
      <w:r w:rsidR="00FF289E" w:rsidRPr="000B74FC">
        <w:rPr>
          <w:rFonts w:cstheme="minorHAnsi"/>
        </w:rPr>
        <w:t xml:space="preserve"> in multiple countries</w:t>
      </w:r>
      <w:r>
        <w:rPr>
          <w:rFonts w:cstheme="minorHAnsi"/>
        </w:rPr>
        <w:t>,</w:t>
      </w:r>
      <w:r w:rsidR="00F7141B">
        <w:rPr>
          <w:rFonts w:cstheme="minorHAnsi"/>
        </w:rPr>
        <w:t xml:space="preserve"> and </w:t>
      </w:r>
      <w:r>
        <w:rPr>
          <w:rFonts w:cstheme="minorHAnsi"/>
        </w:rPr>
        <w:t xml:space="preserve">so this </w:t>
      </w:r>
      <w:r w:rsidR="00F7141B">
        <w:rPr>
          <w:rFonts w:cstheme="minorHAnsi"/>
        </w:rPr>
        <w:t xml:space="preserve">is not a practical proposition in the </w:t>
      </w:r>
      <w:r>
        <w:rPr>
          <w:rFonts w:cstheme="minorHAnsi"/>
        </w:rPr>
        <w:t>near</w:t>
      </w:r>
      <w:r w:rsidR="00F7141B">
        <w:rPr>
          <w:rFonts w:cstheme="minorHAnsi"/>
        </w:rPr>
        <w:t xml:space="preserve"> future</w:t>
      </w:r>
      <w:r w:rsidR="00F5654A" w:rsidRPr="00F23F93">
        <w:rPr>
          <w:rFonts w:cstheme="minorHAnsi"/>
        </w:rPr>
        <w:t xml:space="preserve">. </w:t>
      </w:r>
      <w:r w:rsidR="00713129">
        <w:rPr>
          <w:rFonts w:cstheme="minorHAnsi"/>
        </w:rPr>
        <w:t xml:space="preserve"> </w:t>
      </w:r>
      <w:r>
        <w:rPr>
          <w:rFonts w:cstheme="minorHAnsi"/>
        </w:rPr>
        <w:t>Instead, c</w:t>
      </w:r>
      <w:r w:rsidR="002546A7">
        <w:t>onvergence of national and regional pharmacopoeial and regulatory requirements</w:t>
      </w:r>
      <w:r>
        <w:t>,</w:t>
      </w:r>
      <w:r w:rsidR="002546A7">
        <w:t xml:space="preserve"> to </w:t>
      </w:r>
      <w:r w:rsidR="002546A7" w:rsidRPr="00F5654A">
        <w:rPr>
          <w:rFonts w:cstheme="minorHAnsi"/>
        </w:rPr>
        <w:t xml:space="preserve">avoid multiple testing of the same </w:t>
      </w:r>
      <w:r w:rsidR="0059005E">
        <w:rPr>
          <w:rFonts w:cstheme="minorHAnsi"/>
        </w:rPr>
        <w:t xml:space="preserve">material or </w:t>
      </w:r>
      <w:r w:rsidR="002546A7" w:rsidRPr="00F5654A">
        <w:rPr>
          <w:rFonts w:cstheme="minorHAnsi"/>
        </w:rPr>
        <w:t>product to meet different pharmacopoeial requirements</w:t>
      </w:r>
      <w:r>
        <w:rPr>
          <w:rFonts w:cstheme="minorHAnsi"/>
        </w:rPr>
        <w:t>,</w:t>
      </w:r>
      <w:r w:rsidR="002546A7">
        <w:t xml:space="preserve"> </w:t>
      </w:r>
      <w:r>
        <w:t>sh</w:t>
      </w:r>
      <w:r w:rsidR="002546A7">
        <w:t xml:space="preserve">ould be supported </w:t>
      </w:r>
      <w:r>
        <w:t xml:space="preserve">and could be implemented </w:t>
      </w:r>
      <w:r w:rsidR="002546A7">
        <w:t>through:</w:t>
      </w:r>
    </w:p>
    <w:p w14:paraId="0DF02666" w14:textId="77777777" w:rsidR="00B16233" w:rsidRDefault="002546A7" w:rsidP="00C05A4F">
      <w:pPr>
        <w:pStyle w:val="ListParagraph"/>
        <w:numPr>
          <w:ilvl w:val="0"/>
          <w:numId w:val="11"/>
        </w:numPr>
        <w:spacing w:after="120"/>
      </w:pPr>
      <w:r w:rsidRPr="00F5654A">
        <w:rPr>
          <w:rFonts w:cstheme="minorHAnsi"/>
        </w:rPr>
        <w:t>Mutual acceptance or reliance by regulatory agencies and pharmacopoeial authorities</w:t>
      </w:r>
      <w:r>
        <w:rPr>
          <w:rFonts w:cstheme="minorHAnsi"/>
        </w:rPr>
        <w:t xml:space="preserve"> -</w:t>
      </w:r>
      <w:r w:rsidRPr="00F5654A">
        <w:rPr>
          <w:rFonts w:cstheme="minorHAnsi"/>
        </w:rPr>
        <w:t xml:space="preserve"> </w:t>
      </w:r>
      <w:r>
        <w:t>R</w:t>
      </w:r>
      <w:r w:rsidR="00F5654A" w:rsidRPr="00F5654A">
        <w:t>egulatory authorities work</w:t>
      </w:r>
      <w:r w:rsidR="008428C6">
        <w:t>ing</w:t>
      </w:r>
      <w:r w:rsidR="00F5654A" w:rsidRPr="00F5654A">
        <w:t xml:space="preserve"> with their local legislature to permit mutual acceptance of quality standards developed </w:t>
      </w:r>
      <w:r w:rsidR="00F5654A">
        <w:t>by internationally</w:t>
      </w:r>
      <w:r>
        <w:t>-</w:t>
      </w:r>
      <w:r w:rsidR="00F5654A">
        <w:t>recog</w:t>
      </w:r>
      <w:r w:rsidR="00F5654A" w:rsidRPr="00F5654A">
        <w:t>n</w:t>
      </w:r>
      <w:r w:rsidR="00F5654A">
        <w:t>ised pharmacopoeia</w:t>
      </w:r>
      <w:r>
        <w:t>s</w:t>
      </w:r>
    </w:p>
    <w:p w14:paraId="50FDC822" w14:textId="77777777" w:rsidR="00D235EE" w:rsidRDefault="002546A7" w:rsidP="00C05A4F">
      <w:pPr>
        <w:pStyle w:val="ListParagraph"/>
        <w:numPr>
          <w:ilvl w:val="0"/>
          <w:numId w:val="4"/>
        </w:numPr>
        <w:spacing w:after="120"/>
        <w:ind w:left="360"/>
      </w:pPr>
      <w:r w:rsidRPr="00B16233">
        <w:rPr>
          <w:rFonts w:cstheme="minorHAnsi"/>
        </w:rPr>
        <w:t>Regulatory authority acceptance of the equivalence of quality standards in different pharmacopoeias. In practice, differences</w:t>
      </w:r>
      <w:r w:rsidR="00F5654A" w:rsidRPr="00B16233">
        <w:rPr>
          <w:rFonts w:cstheme="minorHAnsi"/>
        </w:rPr>
        <w:t xml:space="preserve"> </w:t>
      </w:r>
      <w:r w:rsidRPr="00B16233">
        <w:rPr>
          <w:rFonts w:cstheme="minorHAnsi"/>
        </w:rPr>
        <w:t xml:space="preserve">in </w:t>
      </w:r>
      <w:r w:rsidR="00F5654A" w:rsidRPr="00B16233">
        <w:rPr>
          <w:rFonts w:cstheme="minorHAnsi"/>
        </w:rPr>
        <w:t xml:space="preserve">monographs, test methods, general chapters etc. </w:t>
      </w:r>
      <w:r w:rsidRPr="00B16233">
        <w:rPr>
          <w:rFonts w:cstheme="minorHAnsi"/>
        </w:rPr>
        <w:t xml:space="preserve">between </w:t>
      </w:r>
      <w:r w:rsidR="00F5654A" w:rsidRPr="00B16233">
        <w:rPr>
          <w:rFonts w:cstheme="minorHAnsi"/>
        </w:rPr>
        <w:t xml:space="preserve">pharmacopoeias </w:t>
      </w:r>
      <w:r w:rsidRPr="00B16233">
        <w:rPr>
          <w:rFonts w:cstheme="minorHAnsi"/>
        </w:rPr>
        <w:t>have little or no impact on the</w:t>
      </w:r>
      <w:r w:rsidR="00667402">
        <w:rPr>
          <w:rFonts w:cstheme="minorHAnsi"/>
        </w:rPr>
        <w:t xml:space="preserve"> quality,</w:t>
      </w:r>
      <w:r w:rsidRPr="00B16233">
        <w:rPr>
          <w:rFonts w:cstheme="minorHAnsi"/>
        </w:rPr>
        <w:t xml:space="preserve"> safety and efficacy of products and therefore on patients. </w:t>
      </w:r>
      <w:r w:rsidR="00F5654A" w:rsidRPr="002546A7">
        <w:t xml:space="preserve">Australia’s TGA is an example of an agency that will accept regulatory filings with different pharmacopoeial standards (e.g. USP, </w:t>
      </w:r>
      <w:proofErr w:type="gramStart"/>
      <w:r w:rsidR="00F5654A" w:rsidRPr="002546A7">
        <w:t>Ph.Eur</w:t>
      </w:r>
      <w:proofErr w:type="gramEnd"/>
      <w:r w:rsidR="00F5654A" w:rsidRPr="002546A7">
        <w:t>, JP) specified in the dossier.</w:t>
      </w:r>
      <w:r w:rsidRPr="002546A7">
        <w:t xml:space="preserve"> </w:t>
      </w:r>
    </w:p>
    <w:p w14:paraId="32F39938" w14:textId="77777777" w:rsidR="00EB70A0" w:rsidRPr="00E8508C" w:rsidRDefault="00EB70A0" w:rsidP="00C05A4F">
      <w:pPr>
        <w:spacing w:after="120"/>
        <w:rPr>
          <w:b/>
        </w:rPr>
      </w:pPr>
      <w:r>
        <w:rPr>
          <w:b/>
        </w:rPr>
        <w:t xml:space="preserve">Collaboration </w:t>
      </w:r>
      <w:r w:rsidR="00557CA9">
        <w:rPr>
          <w:b/>
        </w:rPr>
        <w:t>b</w:t>
      </w:r>
      <w:r>
        <w:rPr>
          <w:b/>
        </w:rPr>
        <w:t xml:space="preserve">etween </w:t>
      </w:r>
      <w:r w:rsidR="000C6E09">
        <w:rPr>
          <w:b/>
        </w:rPr>
        <w:t>Pharmacopoeias</w:t>
      </w:r>
    </w:p>
    <w:p w14:paraId="4649BD27" w14:textId="087F5468" w:rsidR="00EB70A0" w:rsidRPr="006C0CEE" w:rsidRDefault="00EB70A0" w:rsidP="00C05A4F">
      <w:pPr>
        <w:spacing w:after="120"/>
      </w:pPr>
      <w:r w:rsidRPr="00F23F93">
        <w:rPr>
          <w:rFonts w:cstheme="minorHAnsi"/>
        </w:rPr>
        <w:t>The need for alignment of pharmacopoeial requirements has been acknowledged by many stakeholders</w:t>
      </w:r>
      <w:r w:rsidR="00870DD2">
        <w:rPr>
          <w:rFonts w:cstheme="minorHAnsi"/>
        </w:rPr>
        <w:t>, including the leading international pharmacopoeias</w:t>
      </w:r>
      <w:r w:rsidR="00427CB4">
        <w:rPr>
          <w:rFonts w:cstheme="minorHAnsi"/>
        </w:rPr>
        <w:t xml:space="preserve"> (2)</w:t>
      </w:r>
      <w:r w:rsidR="00870DD2">
        <w:rPr>
          <w:rFonts w:cstheme="minorHAnsi"/>
        </w:rPr>
        <w:t>,</w:t>
      </w:r>
      <w:r w:rsidRPr="00F23F93">
        <w:rPr>
          <w:rFonts w:cstheme="minorHAnsi"/>
        </w:rPr>
        <w:t xml:space="preserve"> and progress in this area has been made</w:t>
      </w:r>
      <w:r w:rsidR="00870DD2">
        <w:rPr>
          <w:rFonts w:cstheme="minorHAnsi"/>
        </w:rPr>
        <w:t xml:space="preserve"> in several forums.</w:t>
      </w:r>
      <w:r w:rsidR="00B6594F">
        <w:rPr>
          <w:rFonts w:cstheme="minorHAnsi"/>
        </w:rPr>
        <w:t xml:space="preserve"> Nevertheless </w:t>
      </w:r>
      <w:r w:rsidR="00B6594F">
        <w:t xml:space="preserve">national </w:t>
      </w:r>
      <w:r w:rsidR="00B6594F" w:rsidRPr="00463F64">
        <w:t>pharmacopoeias continue to independent</w:t>
      </w:r>
      <w:r w:rsidR="00B6594F">
        <w:t>ly</w:t>
      </w:r>
      <w:r w:rsidR="00B6594F" w:rsidRPr="00463F64">
        <w:t xml:space="preserve"> develop </w:t>
      </w:r>
      <w:r w:rsidR="00B6594F">
        <w:t xml:space="preserve">non-harmonised </w:t>
      </w:r>
      <w:r w:rsidR="00B6594F" w:rsidRPr="00463F64">
        <w:t>content</w:t>
      </w:r>
      <w:r w:rsidR="00B6594F">
        <w:t xml:space="preserve"> and increase the complexity for compliance</w:t>
      </w:r>
      <w:r w:rsidR="00B6594F" w:rsidRPr="00463F64">
        <w:t xml:space="preserve"> </w:t>
      </w:r>
      <w:r w:rsidR="00B6594F">
        <w:t xml:space="preserve">with these different </w:t>
      </w:r>
      <w:r w:rsidR="00B6594F">
        <w:lastRenderedPageBreak/>
        <w:t xml:space="preserve">requirements. </w:t>
      </w:r>
      <w:r w:rsidR="00464C9A">
        <w:t xml:space="preserve">Furthermore, some </w:t>
      </w:r>
      <w:r w:rsidR="00941EE9">
        <w:t xml:space="preserve">national </w:t>
      </w:r>
      <w:r w:rsidR="00464C9A">
        <w:t>pharmacopoeias may be updated infrequently</w:t>
      </w:r>
      <w:r w:rsidR="00941EE9">
        <w:t xml:space="preserve">; in such cases adoption of an internationally recognised pharmacopoeia (e.g. the European Pharmacopoeia) could be of greater benefit to patients than </w:t>
      </w:r>
      <w:r w:rsidR="004B1C3C">
        <w:t xml:space="preserve">maintaining </w:t>
      </w:r>
      <w:r w:rsidR="00941EE9">
        <w:t xml:space="preserve">a local pharmacopoeia.  </w:t>
      </w:r>
      <w:r w:rsidR="00B6594F">
        <w:t>Although there is evidence of r</w:t>
      </w:r>
      <w:r w:rsidR="00B6594F" w:rsidRPr="00463F64">
        <w:t>egional developments in</w:t>
      </w:r>
      <w:r w:rsidR="00B6594F">
        <w:t xml:space="preserve">, for example, </w:t>
      </w:r>
      <w:r w:rsidR="00B6594F" w:rsidRPr="00463F64">
        <w:t xml:space="preserve">South America and Eastern Europe </w:t>
      </w:r>
      <w:r w:rsidR="00B6594F">
        <w:t>that may result in</w:t>
      </w:r>
      <w:r w:rsidR="00B6594F" w:rsidRPr="00463F64">
        <w:t xml:space="preserve"> regional</w:t>
      </w:r>
      <w:r w:rsidR="00B6594F">
        <w:t>ly aligned</w:t>
      </w:r>
      <w:r w:rsidR="00B6594F" w:rsidRPr="00463F64">
        <w:t xml:space="preserve"> expectations, </w:t>
      </w:r>
      <w:r w:rsidR="00B6594F">
        <w:t>it is reasonable to consider if these efforts would be more efficient if they could utilise content from o</w:t>
      </w:r>
      <w:r w:rsidR="00B6594F" w:rsidRPr="00463F64">
        <w:t xml:space="preserve">ther </w:t>
      </w:r>
      <w:r w:rsidR="00B6594F">
        <w:t>leading</w:t>
      </w:r>
      <w:r w:rsidR="00427CB4">
        <w:t>,</w:t>
      </w:r>
      <w:r w:rsidR="00B6594F">
        <w:t xml:space="preserve"> </w:t>
      </w:r>
      <w:r w:rsidR="004B1C3C">
        <w:t>internationally</w:t>
      </w:r>
      <w:r w:rsidR="00427CB4">
        <w:t>-</w:t>
      </w:r>
      <w:r w:rsidR="004B1C3C">
        <w:t xml:space="preserve">recognised </w:t>
      </w:r>
      <w:r w:rsidR="00B6594F">
        <w:t>pharmacopoeias.</w:t>
      </w:r>
      <w:r w:rsidR="00B6594F" w:rsidRPr="00463F64">
        <w:t xml:space="preserve">  </w:t>
      </w:r>
    </w:p>
    <w:p w14:paraId="15EA69C5" w14:textId="77777777" w:rsidR="00870DD2" w:rsidRDefault="00EB70A0" w:rsidP="00C05A4F">
      <w:pPr>
        <w:spacing w:after="120"/>
      </w:pPr>
      <w:r>
        <w:t xml:space="preserve"> </w:t>
      </w:r>
      <w:r w:rsidR="004B6211">
        <w:t>ICH</w:t>
      </w:r>
      <w:r>
        <w:t xml:space="preserve"> promotes global requirements for the quality, safety and efficacy of medicines</w:t>
      </w:r>
      <w:r w:rsidR="00870DD2">
        <w:t>,</w:t>
      </w:r>
      <w:r>
        <w:t xml:space="preserve"> which includes harmonisation of </w:t>
      </w:r>
      <w:r w:rsidR="006975ED">
        <w:t>pharmacopoeial</w:t>
      </w:r>
      <w:r>
        <w:t xml:space="preserve"> standards through </w:t>
      </w:r>
      <w:r w:rsidR="00870DD2">
        <w:t xml:space="preserve">ICH </w:t>
      </w:r>
      <w:r>
        <w:t>Q4B</w:t>
      </w:r>
      <w:r w:rsidR="004B6211">
        <w:t xml:space="preserve"> (4)</w:t>
      </w:r>
      <w:r>
        <w:t xml:space="preserve">. </w:t>
      </w:r>
      <w:r w:rsidR="00870DD2">
        <w:t xml:space="preserve">However, </w:t>
      </w:r>
      <w:r w:rsidR="00870DD2" w:rsidRPr="001C152F">
        <w:rPr>
          <w:rFonts w:cstheme="minorHAnsi"/>
        </w:rPr>
        <w:t xml:space="preserve">ICH Q4B has terminated its activities, and the need for alignment of requirements </w:t>
      </w:r>
      <w:r w:rsidR="00870DD2">
        <w:rPr>
          <w:rFonts w:cstheme="minorHAnsi"/>
        </w:rPr>
        <w:t xml:space="preserve">of other pharmacopoeial standards not included in ICH Q4B annexes </w:t>
      </w:r>
      <w:r w:rsidR="00870DD2" w:rsidRPr="001C152F">
        <w:rPr>
          <w:rFonts w:cstheme="minorHAnsi"/>
        </w:rPr>
        <w:t>still remains</w:t>
      </w:r>
      <w:r w:rsidR="00870DD2">
        <w:rPr>
          <w:rFonts w:cstheme="minorHAnsi"/>
        </w:rPr>
        <w:t>.</w:t>
      </w:r>
      <w:r w:rsidR="00870DD2" w:rsidRPr="00870DD2">
        <w:t xml:space="preserve"> </w:t>
      </w:r>
      <w:r w:rsidR="00870DD2">
        <w:t xml:space="preserve">The </w:t>
      </w:r>
      <w:r w:rsidR="00870DD2" w:rsidRPr="00463F64">
        <w:t>P</w:t>
      </w:r>
      <w:r w:rsidR="00870DD2">
        <w:t xml:space="preserve">harmacopoeia </w:t>
      </w:r>
      <w:r w:rsidR="00870DD2" w:rsidRPr="00463F64">
        <w:t>D</w:t>
      </w:r>
      <w:r w:rsidR="00870DD2">
        <w:t xml:space="preserve">iscussion </w:t>
      </w:r>
      <w:r w:rsidR="00870DD2" w:rsidRPr="00463F64">
        <w:t>G</w:t>
      </w:r>
      <w:r w:rsidR="00870DD2">
        <w:t xml:space="preserve">roup (PDG) </w:t>
      </w:r>
      <w:r w:rsidR="00870DD2" w:rsidRPr="00463F64">
        <w:t>has diligently worked to create international standard</w:t>
      </w:r>
      <w:r w:rsidR="00870DD2">
        <w:t xml:space="preserve"> agreement </w:t>
      </w:r>
      <w:r w:rsidR="00870DD2" w:rsidRPr="00463F64">
        <w:t xml:space="preserve">between </w:t>
      </w:r>
      <w:r w:rsidR="00870DD2">
        <w:t xml:space="preserve">pharmacopoeial authorities of the </w:t>
      </w:r>
      <w:r w:rsidR="00870DD2" w:rsidRPr="00463F64">
        <w:t xml:space="preserve">EU, Japan, and </w:t>
      </w:r>
      <w:r w:rsidR="00870DD2">
        <w:t>the USA</w:t>
      </w:r>
      <w:r w:rsidR="00870DD2" w:rsidRPr="00463F64">
        <w:t xml:space="preserve">.  </w:t>
      </w:r>
      <w:r w:rsidR="00B6594F">
        <w:t>In a</w:t>
      </w:r>
      <w:r w:rsidR="00B6594F" w:rsidRPr="00463F64">
        <w:t xml:space="preserve">ddition, </w:t>
      </w:r>
      <w:r w:rsidR="00414CA4">
        <w:t>the expanding membership of</w:t>
      </w:r>
      <w:r w:rsidR="00B6594F" w:rsidRPr="00463F64">
        <w:t xml:space="preserve"> ICH creates further opportunities </w:t>
      </w:r>
      <w:r w:rsidR="00414CA4">
        <w:t>to</w:t>
      </w:r>
      <w:r w:rsidR="00B6594F" w:rsidRPr="00463F64">
        <w:t xml:space="preserve"> establish global</w:t>
      </w:r>
      <w:r w:rsidR="00414CA4">
        <w:t>ly-aligned</w:t>
      </w:r>
      <w:r w:rsidR="00B6594F" w:rsidRPr="00463F64">
        <w:t xml:space="preserve"> standards</w:t>
      </w:r>
      <w:r w:rsidR="00414CA4">
        <w:t xml:space="preserve">. </w:t>
      </w:r>
      <w:r w:rsidR="00870DD2" w:rsidRPr="001C152F">
        <w:rPr>
          <w:rFonts w:cstheme="minorHAnsi"/>
        </w:rPr>
        <w:t xml:space="preserve">However, agreeing harmonised text </w:t>
      </w:r>
      <w:r w:rsidR="00870DD2">
        <w:rPr>
          <w:rFonts w:cstheme="minorHAnsi"/>
        </w:rPr>
        <w:t>has proved to</w:t>
      </w:r>
      <w:r w:rsidR="00870DD2" w:rsidRPr="001C152F">
        <w:rPr>
          <w:rFonts w:cstheme="minorHAnsi"/>
        </w:rPr>
        <w:t xml:space="preserve"> be a slow, resource-intensive process</w:t>
      </w:r>
      <w:r w:rsidR="00870DD2">
        <w:rPr>
          <w:rFonts w:cstheme="minorHAnsi"/>
        </w:rPr>
        <w:t xml:space="preserve">, </w:t>
      </w:r>
      <w:r w:rsidR="00870DD2" w:rsidRPr="00463F64">
        <w:t xml:space="preserve">and </w:t>
      </w:r>
      <w:r w:rsidR="00414CA4">
        <w:t>does not always come to a fu</w:t>
      </w:r>
      <w:r w:rsidR="00870DD2">
        <w:t>lly harmonised text.</w:t>
      </w:r>
      <w:r w:rsidR="00870DD2">
        <w:rPr>
          <w:rFonts w:cstheme="minorHAnsi"/>
        </w:rPr>
        <w:t xml:space="preserve">  </w:t>
      </w:r>
      <w:r w:rsidR="00870DD2" w:rsidRPr="00463F64">
        <w:t xml:space="preserve">While other markets can </w:t>
      </w:r>
      <w:r w:rsidR="00870DD2">
        <w:t xml:space="preserve">choose to </w:t>
      </w:r>
      <w:r w:rsidR="00870DD2" w:rsidRPr="00463F64">
        <w:t>adopt the PDG</w:t>
      </w:r>
      <w:r w:rsidR="00941EE9">
        <w:t>-</w:t>
      </w:r>
      <w:r w:rsidR="00870DD2" w:rsidRPr="00463F64">
        <w:t>harmoni</w:t>
      </w:r>
      <w:r w:rsidR="00941EE9">
        <w:t>s</w:t>
      </w:r>
      <w:r w:rsidR="00870DD2" w:rsidRPr="00463F64">
        <w:t>ed standards</w:t>
      </w:r>
      <w:r w:rsidR="00870DD2">
        <w:t xml:space="preserve">, there is no </w:t>
      </w:r>
      <w:r w:rsidR="00AF1100">
        <w:t xml:space="preserve">current </w:t>
      </w:r>
      <w:r w:rsidR="00870DD2">
        <w:t>mechanism for other pharmacopoeial commissions to formally contribute to the work of the PDG. If</w:t>
      </w:r>
      <w:r w:rsidR="00870DD2" w:rsidRPr="001C152F">
        <w:rPr>
          <w:rFonts w:cstheme="minorHAnsi"/>
        </w:rPr>
        <w:t xml:space="preserve"> PDG </w:t>
      </w:r>
      <w:r w:rsidR="00870DD2">
        <w:rPr>
          <w:rFonts w:cstheme="minorHAnsi"/>
        </w:rPr>
        <w:t>were to expand its member</w:t>
      </w:r>
      <w:r w:rsidR="00941EE9">
        <w:rPr>
          <w:rFonts w:cstheme="minorHAnsi"/>
        </w:rPr>
        <w:t>ship</w:t>
      </w:r>
      <w:r w:rsidR="00870DD2">
        <w:rPr>
          <w:rFonts w:cstheme="minorHAnsi"/>
        </w:rPr>
        <w:t xml:space="preserve"> in the future </w:t>
      </w:r>
      <w:r w:rsidR="00870DD2" w:rsidRPr="001C152F">
        <w:rPr>
          <w:rFonts w:cstheme="minorHAnsi"/>
        </w:rPr>
        <w:t>to accommodate new ICH members such as China, Brazil and South Korea</w:t>
      </w:r>
      <w:r w:rsidR="00870DD2">
        <w:rPr>
          <w:rFonts w:cstheme="minorHAnsi"/>
        </w:rPr>
        <w:t>, this</w:t>
      </w:r>
      <w:r w:rsidR="00870DD2" w:rsidRPr="001C152F">
        <w:rPr>
          <w:rFonts w:cstheme="minorHAnsi"/>
        </w:rPr>
        <w:t xml:space="preserve"> will likely slow th</w:t>
      </w:r>
      <w:r w:rsidR="00914151">
        <w:rPr>
          <w:rFonts w:cstheme="minorHAnsi"/>
        </w:rPr>
        <w:t>e current</w:t>
      </w:r>
      <w:r w:rsidR="00870DD2" w:rsidRPr="001C152F">
        <w:rPr>
          <w:rFonts w:cstheme="minorHAnsi"/>
        </w:rPr>
        <w:t xml:space="preserve"> process further</w:t>
      </w:r>
      <w:r w:rsidR="00914151">
        <w:rPr>
          <w:rFonts w:cstheme="minorHAnsi"/>
        </w:rPr>
        <w:t>, and thus there is a need to consider mechanisms to enable multiple pharmacopoeial authorities to efficiently develop harmonised standards.</w:t>
      </w:r>
    </w:p>
    <w:p w14:paraId="5CE873EB" w14:textId="48D26619" w:rsidR="00EB70A0" w:rsidRPr="00463F64" w:rsidRDefault="00870DD2" w:rsidP="00C05A4F">
      <w:pPr>
        <w:spacing w:after="120"/>
      </w:pPr>
      <w:r>
        <w:t>Development of r</w:t>
      </w:r>
      <w:r w:rsidR="00EB70A0" w:rsidRPr="00463F64">
        <w:t>egional</w:t>
      </w:r>
      <w:r>
        <w:t>ly harmonised</w:t>
      </w:r>
      <w:r w:rsidR="00EB70A0" w:rsidRPr="00463F64">
        <w:t xml:space="preserve"> standards </w:t>
      </w:r>
      <w:r>
        <w:t>is exemplified by</w:t>
      </w:r>
      <w:r w:rsidR="00EB70A0">
        <w:t xml:space="preserve"> the work </w:t>
      </w:r>
      <w:r>
        <w:t>of</w:t>
      </w:r>
      <w:r w:rsidR="00EB70A0">
        <w:t xml:space="preserve"> the European Directorate for the Quality of Medicines (EDQM) in developing the European Pharmacopoeia (Ph</w:t>
      </w:r>
      <w:r>
        <w:t>.</w:t>
      </w:r>
      <w:r w:rsidR="00EB70A0">
        <w:t>Eur)</w:t>
      </w:r>
      <w:r w:rsidR="002C0688">
        <w:t xml:space="preserve"> through a collaboration of </w:t>
      </w:r>
      <w:r w:rsidR="00601B1C">
        <w:t xml:space="preserve">nearly 40 </w:t>
      </w:r>
      <w:r w:rsidR="002C0688">
        <w:t>European countries and the European Union (EU)</w:t>
      </w:r>
      <w:r>
        <w:t>. The Ph.Eur.</w:t>
      </w:r>
      <w:r w:rsidR="00EB70A0">
        <w:t xml:space="preserve"> provides harmonised standards for </w:t>
      </w:r>
      <w:r w:rsidR="002C0688">
        <w:t>EU</w:t>
      </w:r>
      <w:r w:rsidR="004B1C3C">
        <w:t xml:space="preserve"> member states</w:t>
      </w:r>
      <w:r w:rsidR="00414CA4">
        <w:t xml:space="preserve"> and extends the influence of these </w:t>
      </w:r>
      <w:r w:rsidR="00414CA4" w:rsidRPr="00463F64">
        <w:t>regional activities to a growing number of observer countries</w:t>
      </w:r>
      <w:r w:rsidR="00EB70A0">
        <w:t xml:space="preserve">. </w:t>
      </w:r>
      <w:r w:rsidR="002C0688">
        <w:t>T</w:t>
      </w:r>
      <w:r w:rsidR="00914151">
        <w:t xml:space="preserve">he European Pharmacopoeia </w:t>
      </w:r>
      <w:r w:rsidR="00A54E7A">
        <w:t xml:space="preserve">is published in </w:t>
      </w:r>
      <w:r w:rsidR="00914151">
        <w:t>English and French</w:t>
      </w:r>
      <w:r w:rsidR="00A54E7A">
        <w:t>, the two official languages of the Council of Europe</w:t>
      </w:r>
      <w:r w:rsidR="00914151">
        <w:t xml:space="preserve"> </w:t>
      </w:r>
      <w:r w:rsidR="002C0688">
        <w:t xml:space="preserve">and </w:t>
      </w:r>
      <w:r w:rsidR="00914151">
        <w:t>two of the three procedural languages of the European Commission</w:t>
      </w:r>
      <w:r w:rsidR="00A54E7A">
        <w:t xml:space="preserve"> </w:t>
      </w:r>
      <w:r w:rsidR="002C0688">
        <w:t>(there are</w:t>
      </w:r>
      <w:r w:rsidR="00A54E7A">
        <w:t xml:space="preserve"> 24 </w:t>
      </w:r>
      <w:r w:rsidR="002C0688">
        <w:t xml:space="preserve">official </w:t>
      </w:r>
      <w:r w:rsidR="00A54E7A">
        <w:t>languages of the European Parliament</w:t>
      </w:r>
      <w:r w:rsidR="00914151">
        <w:t>)</w:t>
      </w:r>
      <w:r w:rsidR="002C0688">
        <w:t>. Publication in English and French</w:t>
      </w:r>
      <w:r w:rsidR="00EB70A0">
        <w:t xml:space="preserve"> </w:t>
      </w:r>
      <w:r w:rsidR="00A54E7A">
        <w:t xml:space="preserve">facilitates the </w:t>
      </w:r>
      <w:r w:rsidR="002C0688">
        <w:t xml:space="preserve">adoption and </w:t>
      </w:r>
      <w:r w:rsidR="00A54E7A">
        <w:t>use of the European Pharmacopoeia internationally</w:t>
      </w:r>
      <w:r w:rsidR="002C0688">
        <w:t>, and the publication of other pharmacopoeias in English would also facilitate their adoption as internationally recognised standards. Publication by pharmacopoeial authorities of proposals for new pharmacopoeial monographs and general chapters in English, together with reasonable timescales for review and comment, greatly assists industry to provide feedback to the pharmacopoeial authorities to help them in developing high quality monographs etc.</w:t>
      </w:r>
    </w:p>
    <w:p w14:paraId="5CB3F7E7" w14:textId="3555606F" w:rsidR="008D1A3B" w:rsidRDefault="00EB70A0" w:rsidP="00C05A4F">
      <w:pPr>
        <w:spacing w:after="120"/>
      </w:pPr>
      <w:r w:rsidRPr="00463F64">
        <w:t xml:space="preserve">Development of </w:t>
      </w:r>
      <w:r>
        <w:t xml:space="preserve">the </w:t>
      </w:r>
      <w:r w:rsidRPr="00463F64">
        <w:t>WHO Good Pharmacopoeial Practices</w:t>
      </w:r>
      <w:r w:rsidR="00412E38">
        <w:t xml:space="preserve"> (5)</w:t>
      </w:r>
      <w:r w:rsidR="00F15981">
        <w:t xml:space="preserve"> (GPhP)</w:t>
      </w:r>
      <w:r w:rsidRPr="00463F64">
        <w:t xml:space="preserve"> show</w:t>
      </w:r>
      <w:r>
        <w:t>ed</w:t>
      </w:r>
      <w:r w:rsidRPr="00463F64">
        <w:t xml:space="preserve"> a common understanding and </w:t>
      </w:r>
      <w:r>
        <w:t xml:space="preserve">recognition of the </w:t>
      </w:r>
      <w:r w:rsidRPr="00463F64">
        <w:t xml:space="preserve">value </w:t>
      </w:r>
      <w:r>
        <w:t>for</w:t>
      </w:r>
      <w:r w:rsidRPr="00463F64">
        <w:t xml:space="preserve"> harmonized international standards</w:t>
      </w:r>
      <w:r>
        <w:t xml:space="preserve">.  </w:t>
      </w:r>
      <w:r w:rsidR="00414CA4">
        <w:t>The</w:t>
      </w:r>
      <w:r w:rsidR="004B1C3C">
        <w:t xml:space="preserve"> importance</w:t>
      </w:r>
      <w:r w:rsidR="00414CA4" w:rsidRPr="00463F64">
        <w:t xml:space="preserve"> of existing PDG work was acknowledged </w:t>
      </w:r>
      <w:r w:rsidR="00414CA4">
        <w:t>as part of th</w:t>
      </w:r>
      <w:r w:rsidR="004B1C3C">
        <w:t xml:space="preserve">e output from the GPhP discussion.  Although </w:t>
      </w:r>
      <w:r w:rsidR="00414CA4" w:rsidRPr="00463F64">
        <w:t xml:space="preserve">there </w:t>
      </w:r>
      <w:r w:rsidR="004B1C3C">
        <w:t>were no obligations</w:t>
      </w:r>
      <w:r w:rsidR="00414CA4" w:rsidRPr="00463F64">
        <w:t xml:space="preserve"> for the participating Pharmacopoeias to adopt the established harmonized content</w:t>
      </w:r>
      <w:r w:rsidR="00914151">
        <w:t xml:space="preserve">, </w:t>
      </w:r>
      <w:r w:rsidR="004B1C3C">
        <w:t xml:space="preserve">further insight into </w:t>
      </w:r>
      <w:r w:rsidR="00914151">
        <w:t xml:space="preserve">the extent to which </w:t>
      </w:r>
      <w:r w:rsidR="00414CA4" w:rsidRPr="001C152F">
        <w:rPr>
          <w:rFonts w:cstheme="minorHAnsi"/>
        </w:rPr>
        <w:t xml:space="preserve">pharmacopoeias </w:t>
      </w:r>
      <w:r w:rsidR="00914151">
        <w:rPr>
          <w:rFonts w:cstheme="minorHAnsi"/>
        </w:rPr>
        <w:t xml:space="preserve">may </w:t>
      </w:r>
      <w:r w:rsidR="00414CA4" w:rsidRPr="001C152F">
        <w:rPr>
          <w:rFonts w:cstheme="minorHAnsi"/>
        </w:rPr>
        <w:t>have changed their practices as a result of the GPhP documen</w:t>
      </w:r>
      <w:r w:rsidR="00414CA4">
        <w:rPr>
          <w:rFonts w:cstheme="minorHAnsi"/>
        </w:rPr>
        <w:t>t</w:t>
      </w:r>
      <w:r w:rsidR="004B1C3C">
        <w:rPr>
          <w:rFonts w:cstheme="minorHAnsi"/>
        </w:rPr>
        <w:t xml:space="preserve"> would be welcomed. </w:t>
      </w:r>
      <w:r w:rsidR="004B1C3C">
        <w:t>Nevertheless,</w:t>
      </w:r>
      <w:r w:rsidR="0080427B">
        <w:t xml:space="preserve"> </w:t>
      </w:r>
      <w:r w:rsidR="00414CA4">
        <w:t>the document, and the process to develop it,   represents an important first step towards global alignment of pharmacopoeial practices and content</w:t>
      </w:r>
      <w:r w:rsidR="0080427B">
        <w:t xml:space="preserve">.  </w:t>
      </w:r>
    </w:p>
    <w:p w14:paraId="7F3A4A95" w14:textId="77777777" w:rsidR="008D1A3B" w:rsidRDefault="00364F8C" w:rsidP="00C05A4F">
      <w:pPr>
        <w:spacing w:after="120"/>
      </w:pPr>
      <w:r>
        <w:lastRenderedPageBreak/>
        <w:t xml:space="preserve">EFPIA </w:t>
      </w:r>
      <w:r w:rsidR="008D1A3B">
        <w:t xml:space="preserve">supports the collaboration between pharmacopoeias </w:t>
      </w:r>
      <w:r w:rsidR="00AF23E4">
        <w:t xml:space="preserve">through initiatives, such as WHO’s Good Pharmacopoeial Practices and ICH, </w:t>
      </w:r>
      <w:r w:rsidR="008D1A3B">
        <w:t>and the further development of mechanisms to enable industry to provide input into the development of general chapters, monographs and other pharmacopoeial content that is relevant to the manufacture and supply of medicines in the 21</w:t>
      </w:r>
      <w:r w:rsidR="008D1A3B" w:rsidRPr="003A6211">
        <w:rPr>
          <w:vertAlign w:val="superscript"/>
        </w:rPr>
        <w:t>st</w:t>
      </w:r>
      <w:r w:rsidR="008D1A3B">
        <w:t xml:space="preserve"> century</w:t>
      </w:r>
      <w:r w:rsidR="00AF23E4">
        <w:t>.</w:t>
      </w:r>
      <w:r w:rsidR="008D1A3B">
        <w:t xml:space="preserve"> This could include:</w:t>
      </w:r>
    </w:p>
    <w:p w14:paraId="7A4C2505" w14:textId="77777777" w:rsidR="008D1A3B" w:rsidRDefault="008D1A3B" w:rsidP="00C05A4F">
      <w:pPr>
        <w:pStyle w:val="ListParagraph"/>
        <w:numPr>
          <w:ilvl w:val="0"/>
          <w:numId w:val="4"/>
        </w:numPr>
        <w:spacing w:after="120"/>
      </w:pPr>
      <w:r>
        <w:t xml:space="preserve">Encouraging </w:t>
      </w:r>
      <w:r w:rsidR="0059059C">
        <w:t xml:space="preserve">prospective harmonisation/convergence by using </w:t>
      </w:r>
      <w:r>
        <w:t>a ‘lead’ pharmacopoeia approach for development of new and revised content (perhaps modelled on the PDG approach to harmonisation)</w:t>
      </w:r>
    </w:p>
    <w:p w14:paraId="56352A6D" w14:textId="77777777" w:rsidR="008D1A3B" w:rsidRDefault="008D1A3B" w:rsidP="00C05A4F">
      <w:pPr>
        <w:pStyle w:val="ListParagraph"/>
        <w:numPr>
          <w:ilvl w:val="0"/>
          <w:numId w:val="4"/>
        </w:numPr>
        <w:spacing w:after="120"/>
      </w:pPr>
      <w:r>
        <w:t>Encouraging the pharmacopoeial authorities and regulators to embrace</w:t>
      </w:r>
      <w:r w:rsidR="009A075B">
        <w:t xml:space="preserve"> and adopt the outputs of </w:t>
      </w:r>
      <w:r>
        <w:t xml:space="preserve">ICH </w:t>
      </w:r>
      <w:r w:rsidR="009A075B">
        <w:t xml:space="preserve">guidelines and consider </w:t>
      </w:r>
      <w:r>
        <w:t xml:space="preserve">re-establishing </w:t>
      </w:r>
      <w:r w:rsidR="009A075B">
        <w:t>or evolving ICH</w:t>
      </w:r>
      <w:r>
        <w:t xml:space="preserve"> </w:t>
      </w:r>
      <w:r w:rsidR="00364F8C">
        <w:t>Q4B</w:t>
      </w:r>
    </w:p>
    <w:p w14:paraId="50A969F1" w14:textId="77777777" w:rsidR="00755044" w:rsidRDefault="00DB28EA" w:rsidP="00C05A4F">
      <w:pPr>
        <w:spacing w:after="120"/>
        <w:rPr>
          <w:b/>
        </w:rPr>
      </w:pPr>
      <w:r w:rsidRPr="00DB28EA">
        <w:rPr>
          <w:b/>
        </w:rPr>
        <w:t>References</w:t>
      </w:r>
    </w:p>
    <w:p w14:paraId="0E52344C" w14:textId="77777777" w:rsidR="00FB6FCB" w:rsidRPr="00490C98" w:rsidRDefault="00FB6FCB" w:rsidP="00FB6FCB">
      <w:pPr>
        <w:pStyle w:val="ListParagraph"/>
        <w:numPr>
          <w:ilvl w:val="0"/>
          <w:numId w:val="18"/>
        </w:numPr>
        <w:spacing w:after="120"/>
        <w:rPr>
          <w:rStyle w:val="Hyperlink"/>
          <w:b/>
          <w:color w:val="auto"/>
          <w:u w:val="none"/>
        </w:rPr>
      </w:pPr>
      <w:r w:rsidRPr="00FB6FCB">
        <w:t>WHO Index of Pharmacopoeias (January 2018)</w:t>
      </w:r>
      <w:r>
        <w:rPr>
          <w:rStyle w:val="Hyperlink"/>
        </w:rPr>
        <w:t xml:space="preserve"> </w:t>
      </w:r>
      <w:hyperlink r:id="rId8" w:history="1">
        <w:r w:rsidRPr="00FB6FCB">
          <w:rPr>
            <w:rStyle w:val="Hyperlink"/>
          </w:rPr>
          <w:t>http://www.who.int/medicines/publications/pharmacopoeia/index-of-pharmacopoeias_17012018.pdf?ua</w:t>
        </w:r>
        <w:r w:rsidRPr="005A4470">
          <w:rPr>
            <w:rStyle w:val="Hyperlink"/>
          </w:rPr>
          <w:t>=1</w:t>
        </w:r>
      </w:hyperlink>
    </w:p>
    <w:p w14:paraId="02ACF0C0" w14:textId="77777777" w:rsidR="00490C98" w:rsidRPr="00490C98" w:rsidRDefault="000B72C7" w:rsidP="00490C98">
      <w:pPr>
        <w:pStyle w:val="ListParagraph"/>
        <w:numPr>
          <w:ilvl w:val="0"/>
          <w:numId w:val="18"/>
        </w:numPr>
        <w:spacing w:after="120"/>
      </w:pPr>
      <w:r>
        <w:t>Keitel,</w:t>
      </w:r>
      <w:r w:rsidR="00490C98" w:rsidRPr="00490C98">
        <w:t xml:space="preserve"> S. The Need for Pharmacopeial Harmonization. Pharm</w:t>
      </w:r>
      <w:r>
        <w:t>.</w:t>
      </w:r>
      <w:r w:rsidR="00490C98" w:rsidRPr="00490C98">
        <w:t xml:space="preserve"> Technol</w:t>
      </w:r>
      <w:r>
        <w:t xml:space="preserve">. 37 (4) 36-38 </w:t>
      </w:r>
      <w:r w:rsidR="00490C98" w:rsidRPr="00490C98">
        <w:t>(2013)</w:t>
      </w:r>
    </w:p>
    <w:p w14:paraId="3F9C9E83" w14:textId="77777777" w:rsidR="00490C98" w:rsidRPr="004B6211" w:rsidRDefault="00490C98" w:rsidP="00490C98">
      <w:pPr>
        <w:pStyle w:val="ListParagraph"/>
        <w:numPr>
          <w:ilvl w:val="0"/>
          <w:numId w:val="18"/>
        </w:numPr>
        <w:spacing w:after="120"/>
        <w:rPr>
          <w:b/>
        </w:rPr>
      </w:pPr>
      <w:r w:rsidRPr="00490C98">
        <w:t xml:space="preserve">Wiggins, </w:t>
      </w:r>
      <w:r>
        <w:t xml:space="preserve">J. M. </w:t>
      </w:r>
      <w:r w:rsidR="000B72C7">
        <w:t xml:space="preserve">, </w:t>
      </w:r>
      <w:r w:rsidRPr="00490C98">
        <w:t>Skutnik,</w:t>
      </w:r>
      <w:r>
        <w:t xml:space="preserve"> J. A.,</w:t>
      </w:r>
      <w:r w:rsidR="000B72C7">
        <w:t xml:space="preserve"> </w:t>
      </w:r>
      <w:proofErr w:type="spellStart"/>
      <w:r w:rsidRPr="00490C98">
        <w:t>Shimek</w:t>
      </w:r>
      <w:proofErr w:type="spellEnd"/>
      <w:r w:rsidRPr="00490C98">
        <w:t>­ Co</w:t>
      </w:r>
      <w:r>
        <w:t>x, J. L. &amp;</w:t>
      </w:r>
      <w:r w:rsidRPr="00490C98">
        <w:t xml:space="preserve"> </w:t>
      </w:r>
      <w:proofErr w:type="spellStart"/>
      <w:r w:rsidRPr="00490C98">
        <w:t>Schwa</w:t>
      </w:r>
      <w:r>
        <w:t>rz</w:t>
      </w:r>
      <w:r w:rsidRPr="00490C98">
        <w:t>walder</w:t>
      </w:r>
      <w:proofErr w:type="spellEnd"/>
      <w:r w:rsidRPr="00490C98">
        <w:t xml:space="preserve">, </w:t>
      </w:r>
      <w:r>
        <w:t>N. A.</w:t>
      </w:r>
      <w:r w:rsidR="000B72C7">
        <w:t xml:space="preserve"> Compendial Globalization. </w:t>
      </w:r>
      <w:r>
        <w:t xml:space="preserve"> </w:t>
      </w:r>
      <w:r w:rsidRPr="00490C98">
        <w:t>P</w:t>
      </w:r>
      <w:r>
        <w:t>h</w:t>
      </w:r>
      <w:r w:rsidRPr="00490C98">
        <w:t xml:space="preserve">arm. Technol. 32 </w:t>
      </w:r>
      <w:r w:rsidR="000B72C7">
        <w:t>(</w:t>
      </w:r>
      <w:r w:rsidRPr="00490C98">
        <w:t>11) 122-125 (2008)</w:t>
      </w:r>
    </w:p>
    <w:p w14:paraId="7679DA3C" w14:textId="77777777" w:rsidR="004B6211" w:rsidRPr="00412E38" w:rsidRDefault="004B6211" w:rsidP="00490C98">
      <w:pPr>
        <w:pStyle w:val="ListParagraph"/>
        <w:numPr>
          <w:ilvl w:val="0"/>
          <w:numId w:val="18"/>
        </w:numPr>
        <w:spacing w:after="120"/>
        <w:rPr>
          <w:rStyle w:val="Hyperlink"/>
          <w:b/>
          <w:color w:val="auto"/>
          <w:u w:val="none"/>
        </w:rPr>
      </w:pPr>
      <w:r>
        <w:t xml:space="preserve">ICH Q4B Evaluation and recommendation of pharmacopoeial texts for use in the ICH regions (November 2007) </w:t>
      </w:r>
      <w:hyperlink r:id="rId9" w:history="1">
        <w:r w:rsidRPr="004B6211">
          <w:rPr>
            <w:rStyle w:val="Hyperlink"/>
          </w:rPr>
          <w:t>http://www.ich.org/fileadmin/Public_Web_Site/ICH_Products/Guidelines/Quality/Q4B/Step4/Q4B_Guideline.pdf</w:t>
        </w:r>
      </w:hyperlink>
    </w:p>
    <w:p w14:paraId="039519EB" w14:textId="1F2E0AA2" w:rsidR="00412E38" w:rsidRPr="00490C98" w:rsidRDefault="00412E38" w:rsidP="00412E38">
      <w:pPr>
        <w:pStyle w:val="ListParagraph"/>
        <w:numPr>
          <w:ilvl w:val="0"/>
          <w:numId w:val="18"/>
        </w:numPr>
        <w:spacing w:after="120"/>
        <w:rPr>
          <w:b/>
        </w:rPr>
      </w:pPr>
      <w:r>
        <w:t xml:space="preserve">WHO </w:t>
      </w:r>
      <w:hyperlink r:id="rId10" w:tgtFrame="_blank" w:history="1">
        <w:r w:rsidRPr="00412E38">
          <w:t>Good Pharmacopoeial Practices. WHO Technical Report Series, No. 996,  Annex 1</w:t>
        </w:r>
      </w:hyperlink>
      <w:r>
        <w:t xml:space="preserve"> </w:t>
      </w:r>
      <w:r w:rsidRPr="00412E38">
        <w:t>(2016)</w:t>
      </w:r>
      <w:r>
        <w:br/>
      </w:r>
    </w:p>
    <w:p w14:paraId="3BB62E0D" w14:textId="77777777" w:rsidR="00FB6FCB" w:rsidRPr="00FB6FCB" w:rsidRDefault="00FB6FCB" w:rsidP="00490C98">
      <w:pPr>
        <w:pStyle w:val="ListParagraph"/>
        <w:spacing w:after="120"/>
        <w:rPr>
          <w:b/>
        </w:rPr>
      </w:pPr>
    </w:p>
    <w:sectPr w:rsidR="00FB6FCB" w:rsidRPr="00FB6FCB" w:rsidSect="0068200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02511" w14:textId="77777777" w:rsidR="001C2BFF" w:rsidRDefault="001C2BFF" w:rsidP="00375D10">
      <w:pPr>
        <w:spacing w:after="0" w:line="240" w:lineRule="auto"/>
      </w:pPr>
      <w:r>
        <w:separator/>
      </w:r>
    </w:p>
  </w:endnote>
  <w:endnote w:type="continuationSeparator" w:id="0">
    <w:p w14:paraId="4EDB6F4E" w14:textId="77777777" w:rsidR="001C2BFF" w:rsidRDefault="001C2BFF" w:rsidP="0037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935585"/>
      <w:docPartObj>
        <w:docPartGallery w:val="Page Numbers (Bottom of Page)"/>
        <w:docPartUnique/>
      </w:docPartObj>
    </w:sdtPr>
    <w:sdtEndPr/>
    <w:sdtContent>
      <w:sdt>
        <w:sdtPr>
          <w:id w:val="-1669238322"/>
          <w:docPartObj>
            <w:docPartGallery w:val="Page Numbers (Top of Page)"/>
            <w:docPartUnique/>
          </w:docPartObj>
        </w:sdtPr>
        <w:sdtEndPr/>
        <w:sdtContent>
          <w:p w14:paraId="62EEF14A" w14:textId="77777777" w:rsidR="00667402" w:rsidRDefault="006674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1D9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1D99">
              <w:rPr>
                <w:b/>
                <w:bCs/>
                <w:noProof/>
              </w:rPr>
              <w:t>6</w:t>
            </w:r>
            <w:r>
              <w:rPr>
                <w:b/>
                <w:bCs/>
                <w:sz w:val="24"/>
                <w:szCs w:val="24"/>
              </w:rPr>
              <w:fldChar w:fldCharType="end"/>
            </w:r>
          </w:p>
        </w:sdtContent>
      </w:sdt>
    </w:sdtContent>
  </w:sdt>
  <w:p w14:paraId="03ABA19E" w14:textId="77777777" w:rsidR="00667402" w:rsidRDefault="0066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D686" w14:textId="77777777" w:rsidR="001C2BFF" w:rsidRDefault="001C2BFF" w:rsidP="00375D10">
      <w:pPr>
        <w:spacing w:after="0" w:line="240" w:lineRule="auto"/>
      </w:pPr>
      <w:r>
        <w:separator/>
      </w:r>
    </w:p>
  </w:footnote>
  <w:footnote w:type="continuationSeparator" w:id="0">
    <w:p w14:paraId="6DD29505" w14:textId="77777777" w:rsidR="001C2BFF" w:rsidRDefault="001C2BFF" w:rsidP="00375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441"/>
    <w:multiLevelType w:val="hybridMultilevel"/>
    <w:tmpl w:val="61D49F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34A6185"/>
    <w:multiLevelType w:val="hybridMultilevel"/>
    <w:tmpl w:val="FED4B4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59A726E"/>
    <w:multiLevelType w:val="hybridMultilevel"/>
    <w:tmpl w:val="58A0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F1B59"/>
    <w:multiLevelType w:val="hybridMultilevel"/>
    <w:tmpl w:val="A6FC7B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084453"/>
    <w:multiLevelType w:val="hybridMultilevel"/>
    <w:tmpl w:val="78A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73F5F"/>
    <w:multiLevelType w:val="hybridMultilevel"/>
    <w:tmpl w:val="E122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758AF"/>
    <w:multiLevelType w:val="hybridMultilevel"/>
    <w:tmpl w:val="40266A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DCA1F7A"/>
    <w:multiLevelType w:val="hybridMultilevel"/>
    <w:tmpl w:val="B39E2E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06118A"/>
    <w:multiLevelType w:val="hybridMultilevel"/>
    <w:tmpl w:val="FF7E4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A40A56"/>
    <w:multiLevelType w:val="hybridMultilevel"/>
    <w:tmpl w:val="508ED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0423C70"/>
    <w:multiLevelType w:val="hybridMultilevel"/>
    <w:tmpl w:val="B1A222C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51D52C6F"/>
    <w:multiLevelType w:val="hybridMultilevel"/>
    <w:tmpl w:val="98D2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B775E0"/>
    <w:multiLevelType w:val="hybridMultilevel"/>
    <w:tmpl w:val="1B68DADA"/>
    <w:lvl w:ilvl="0" w:tplc="0809000F">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1B6A34"/>
    <w:multiLevelType w:val="hybridMultilevel"/>
    <w:tmpl w:val="9A76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A366A"/>
    <w:multiLevelType w:val="hybridMultilevel"/>
    <w:tmpl w:val="910C1206"/>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68B957A5"/>
    <w:multiLevelType w:val="hybridMultilevel"/>
    <w:tmpl w:val="4CAA6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2C2987"/>
    <w:multiLevelType w:val="hybridMultilevel"/>
    <w:tmpl w:val="AA8C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C0CB2"/>
    <w:multiLevelType w:val="hybridMultilevel"/>
    <w:tmpl w:val="720E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6"/>
  </w:num>
  <w:num w:numId="4">
    <w:abstractNumId w:val="7"/>
  </w:num>
  <w:num w:numId="5">
    <w:abstractNumId w:val="14"/>
  </w:num>
  <w:num w:numId="6">
    <w:abstractNumId w:val="10"/>
  </w:num>
  <w:num w:numId="7">
    <w:abstractNumId w:val="0"/>
  </w:num>
  <w:num w:numId="8">
    <w:abstractNumId w:val="1"/>
  </w:num>
  <w:num w:numId="9">
    <w:abstractNumId w:val="5"/>
  </w:num>
  <w:num w:numId="10">
    <w:abstractNumId w:val="4"/>
  </w:num>
  <w:num w:numId="11">
    <w:abstractNumId w:val="15"/>
  </w:num>
  <w:num w:numId="12">
    <w:abstractNumId w:val="2"/>
  </w:num>
  <w:num w:numId="13">
    <w:abstractNumId w:val="17"/>
  </w:num>
  <w:num w:numId="14">
    <w:abstractNumId w:val="13"/>
  </w:num>
  <w:num w:numId="15">
    <w:abstractNumId w:val="9"/>
  </w:num>
  <w:num w:numId="16">
    <w:abstractNumId w:val="8"/>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64"/>
    <w:rsid w:val="00035BC1"/>
    <w:rsid w:val="00041229"/>
    <w:rsid w:val="00056BC2"/>
    <w:rsid w:val="000768F4"/>
    <w:rsid w:val="000B3BB5"/>
    <w:rsid w:val="000B72C7"/>
    <w:rsid w:val="000B74FC"/>
    <w:rsid w:val="000C46A5"/>
    <w:rsid w:val="000C4F7F"/>
    <w:rsid w:val="000C6021"/>
    <w:rsid w:val="000C6E09"/>
    <w:rsid w:val="000E108B"/>
    <w:rsid w:val="00117205"/>
    <w:rsid w:val="00132795"/>
    <w:rsid w:val="001345C8"/>
    <w:rsid w:val="0014230F"/>
    <w:rsid w:val="0014235A"/>
    <w:rsid w:val="001843A5"/>
    <w:rsid w:val="001A46AC"/>
    <w:rsid w:val="001A74BF"/>
    <w:rsid w:val="001C152F"/>
    <w:rsid w:val="001C2BFF"/>
    <w:rsid w:val="001D04E0"/>
    <w:rsid w:val="001D34C6"/>
    <w:rsid w:val="001D37AB"/>
    <w:rsid w:val="001E6569"/>
    <w:rsid w:val="00212E7F"/>
    <w:rsid w:val="00217F2A"/>
    <w:rsid w:val="0022515D"/>
    <w:rsid w:val="00225370"/>
    <w:rsid w:val="00227C11"/>
    <w:rsid w:val="002546A7"/>
    <w:rsid w:val="00261256"/>
    <w:rsid w:val="0029294E"/>
    <w:rsid w:val="00293C88"/>
    <w:rsid w:val="002C0688"/>
    <w:rsid w:val="002D028A"/>
    <w:rsid w:val="002E4451"/>
    <w:rsid w:val="003018AB"/>
    <w:rsid w:val="00303F0A"/>
    <w:rsid w:val="00324518"/>
    <w:rsid w:val="00334CFA"/>
    <w:rsid w:val="00352CA9"/>
    <w:rsid w:val="00354FC2"/>
    <w:rsid w:val="00364F8C"/>
    <w:rsid w:val="00374FC8"/>
    <w:rsid w:val="00375D10"/>
    <w:rsid w:val="00391F4E"/>
    <w:rsid w:val="003A6211"/>
    <w:rsid w:val="003B193E"/>
    <w:rsid w:val="003B227B"/>
    <w:rsid w:val="003D2C56"/>
    <w:rsid w:val="003D4372"/>
    <w:rsid w:val="003E1F16"/>
    <w:rsid w:val="00401794"/>
    <w:rsid w:val="004107F3"/>
    <w:rsid w:val="00412E38"/>
    <w:rsid w:val="00414CA4"/>
    <w:rsid w:val="00415CA7"/>
    <w:rsid w:val="00427CB4"/>
    <w:rsid w:val="00451010"/>
    <w:rsid w:val="00463F64"/>
    <w:rsid w:val="00464C9A"/>
    <w:rsid w:val="0047617C"/>
    <w:rsid w:val="00490C98"/>
    <w:rsid w:val="004B1C3C"/>
    <w:rsid w:val="004B6211"/>
    <w:rsid w:val="004C3E64"/>
    <w:rsid w:val="004C59DF"/>
    <w:rsid w:val="004D750E"/>
    <w:rsid w:val="004F636E"/>
    <w:rsid w:val="00511986"/>
    <w:rsid w:val="00523BBC"/>
    <w:rsid w:val="0053028E"/>
    <w:rsid w:val="00552151"/>
    <w:rsid w:val="005553F7"/>
    <w:rsid w:val="00557CA9"/>
    <w:rsid w:val="005713EA"/>
    <w:rsid w:val="0059005E"/>
    <w:rsid w:val="0059059C"/>
    <w:rsid w:val="00594CD2"/>
    <w:rsid w:val="00595732"/>
    <w:rsid w:val="005961A5"/>
    <w:rsid w:val="005A4C68"/>
    <w:rsid w:val="005A6D92"/>
    <w:rsid w:val="005C0C2B"/>
    <w:rsid w:val="005D7F21"/>
    <w:rsid w:val="005E27BA"/>
    <w:rsid w:val="005F0892"/>
    <w:rsid w:val="00600FDD"/>
    <w:rsid w:val="00601B1C"/>
    <w:rsid w:val="00606A4E"/>
    <w:rsid w:val="00607205"/>
    <w:rsid w:val="00622F19"/>
    <w:rsid w:val="00636AE9"/>
    <w:rsid w:val="006520BF"/>
    <w:rsid w:val="00655260"/>
    <w:rsid w:val="00660478"/>
    <w:rsid w:val="00667402"/>
    <w:rsid w:val="00673925"/>
    <w:rsid w:val="0068200B"/>
    <w:rsid w:val="0069757F"/>
    <w:rsid w:val="006975ED"/>
    <w:rsid w:val="006A3555"/>
    <w:rsid w:val="006C0CEE"/>
    <w:rsid w:val="006E22F1"/>
    <w:rsid w:val="006E7CA1"/>
    <w:rsid w:val="006F7C62"/>
    <w:rsid w:val="00713129"/>
    <w:rsid w:val="007259B4"/>
    <w:rsid w:val="00731A36"/>
    <w:rsid w:val="00743F0D"/>
    <w:rsid w:val="00755044"/>
    <w:rsid w:val="0075649C"/>
    <w:rsid w:val="00764D77"/>
    <w:rsid w:val="00772759"/>
    <w:rsid w:val="00782BE6"/>
    <w:rsid w:val="007E0DDD"/>
    <w:rsid w:val="0080427B"/>
    <w:rsid w:val="00812FED"/>
    <w:rsid w:val="0081477B"/>
    <w:rsid w:val="00835E92"/>
    <w:rsid w:val="008428C6"/>
    <w:rsid w:val="00866FAB"/>
    <w:rsid w:val="00870DD2"/>
    <w:rsid w:val="008840C3"/>
    <w:rsid w:val="008C22EC"/>
    <w:rsid w:val="008C67E9"/>
    <w:rsid w:val="008D1A3B"/>
    <w:rsid w:val="008E49CC"/>
    <w:rsid w:val="008F795D"/>
    <w:rsid w:val="00902CEB"/>
    <w:rsid w:val="00914151"/>
    <w:rsid w:val="00917E25"/>
    <w:rsid w:val="00933688"/>
    <w:rsid w:val="00941EE9"/>
    <w:rsid w:val="00944F2A"/>
    <w:rsid w:val="00946178"/>
    <w:rsid w:val="00950F81"/>
    <w:rsid w:val="00952B84"/>
    <w:rsid w:val="00956D2A"/>
    <w:rsid w:val="00986234"/>
    <w:rsid w:val="009874DE"/>
    <w:rsid w:val="009A075B"/>
    <w:rsid w:val="009C7DF6"/>
    <w:rsid w:val="009D0D83"/>
    <w:rsid w:val="009F1DB0"/>
    <w:rsid w:val="009F4096"/>
    <w:rsid w:val="00A11AB2"/>
    <w:rsid w:val="00A4682B"/>
    <w:rsid w:val="00A54E7A"/>
    <w:rsid w:val="00A62F99"/>
    <w:rsid w:val="00A644DA"/>
    <w:rsid w:val="00A7245B"/>
    <w:rsid w:val="00A84EF6"/>
    <w:rsid w:val="00AC3025"/>
    <w:rsid w:val="00AC7C19"/>
    <w:rsid w:val="00AD5C14"/>
    <w:rsid w:val="00AE656C"/>
    <w:rsid w:val="00AF1100"/>
    <w:rsid w:val="00AF23E4"/>
    <w:rsid w:val="00AF4614"/>
    <w:rsid w:val="00AF7FCB"/>
    <w:rsid w:val="00B16233"/>
    <w:rsid w:val="00B16B2F"/>
    <w:rsid w:val="00B3653A"/>
    <w:rsid w:val="00B446B0"/>
    <w:rsid w:val="00B6594F"/>
    <w:rsid w:val="00B726E1"/>
    <w:rsid w:val="00B76453"/>
    <w:rsid w:val="00B8113E"/>
    <w:rsid w:val="00B85502"/>
    <w:rsid w:val="00B9089B"/>
    <w:rsid w:val="00BC58C1"/>
    <w:rsid w:val="00BE0D7B"/>
    <w:rsid w:val="00BF4870"/>
    <w:rsid w:val="00C0342C"/>
    <w:rsid w:val="00C04358"/>
    <w:rsid w:val="00C05A4F"/>
    <w:rsid w:val="00C128CE"/>
    <w:rsid w:val="00C43089"/>
    <w:rsid w:val="00C63E77"/>
    <w:rsid w:val="00C77D81"/>
    <w:rsid w:val="00C90348"/>
    <w:rsid w:val="00C93523"/>
    <w:rsid w:val="00CD5483"/>
    <w:rsid w:val="00CE6188"/>
    <w:rsid w:val="00D01912"/>
    <w:rsid w:val="00D235EE"/>
    <w:rsid w:val="00D31D18"/>
    <w:rsid w:val="00D376FA"/>
    <w:rsid w:val="00D61D99"/>
    <w:rsid w:val="00D6436B"/>
    <w:rsid w:val="00D67B59"/>
    <w:rsid w:val="00D718CA"/>
    <w:rsid w:val="00DA6E3C"/>
    <w:rsid w:val="00DB28EA"/>
    <w:rsid w:val="00DB4EEA"/>
    <w:rsid w:val="00DD726A"/>
    <w:rsid w:val="00DE5691"/>
    <w:rsid w:val="00DF3AF2"/>
    <w:rsid w:val="00E03A62"/>
    <w:rsid w:val="00E3072A"/>
    <w:rsid w:val="00E34511"/>
    <w:rsid w:val="00E75F89"/>
    <w:rsid w:val="00E8508C"/>
    <w:rsid w:val="00E97930"/>
    <w:rsid w:val="00EB70A0"/>
    <w:rsid w:val="00EB742A"/>
    <w:rsid w:val="00ED0AC7"/>
    <w:rsid w:val="00ED4A9F"/>
    <w:rsid w:val="00F15981"/>
    <w:rsid w:val="00F17089"/>
    <w:rsid w:val="00F23DAD"/>
    <w:rsid w:val="00F23F93"/>
    <w:rsid w:val="00F44409"/>
    <w:rsid w:val="00F507FB"/>
    <w:rsid w:val="00F5654A"/>
    <w:rsid w:val="00F7141B"/>
    <w:rsid w:val="00F81FE0"/>
    <w:rsid w:val="00F905A8"/>
    <w:rsid w:val="00F944E1"/>
    <w:rsid w:val="00F95641"/>
    <w:rsid w:val="00FA0364"/>
    <w:rsid w:val="00FB4900"/>
    <w:rsid w:val="00FB6FCB"/>
    <w:rsid w:val="00FB7733"/>
    <w:rsid w:val="00FC2923"/>
    <w:rsid w:val="00FC41DC"/>
    <w:rsid w:val="00FE0985"/>
    <w:rsid w:val="00FF289E"/>
    <w:rsid w:val="00FF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77EF"/>
  <w15:docId w15:val="{6999C349-B7D4-0F4F-87F3-4526EF83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930"/>
    <w:pPr>
      <w:spacing w:after="0"/>
      <w:ind w:left="720"/>
      <w:contextualSpacing/>
    </w:pPr>
  </w:style>
  <w:style w:type="character" w:styleId="CommentReference">
    <w:name w:val="annotation reference"/>
    <w:basedOn w:val="DefaultParagraphFont"/>
    <w:uiPriority w:val="99"/>
    <w:semiHidden/>
    <w:unhideWhenUsed/>
    <w:rsid w:val="00391F4E"/>
    <w:rPr>
      <w:sz w:val="16"/>
      <w:szCs w:val="16"/>
    </w:rPr>
  </w:style>
  <w:style w:type="paragraph" w:styleId="CommentText">
    <w:name w:val="annotation text"/>
    <w:basedOn w:val="Normal"/>
    <w:link w:val="CommentTextChar"/>
    <w:uiPriority w:val="99"/>
    <w:unhideWhenUsed/>
    <w:rsid w:val="00391F4E"/>
    <w:pPr>
      <w:spacing w:after="0" w:line="240" w:lineRule="auto"/>
    </w:pPr>
    <w:rPr>
      <w:sz w:val="20"/>
      <w:szCs w:val="20"/>
    </w:rPr>
  </w:style>
  <w:style w:type="character" w:customStyle="1" w:styleId="CommentTextChar">
    <w:name w:val="Comment Text Char"/>
    <w:basedOn w:val="DefaultParagraphFont"/>
    <w:link w:val="CommentText"/>
    <w:uiPriority w:val="99"/>
    <w:rsid w:val="00391F4E"/>
    <w:rPr>
      <w:sz w:val="20"/>
      <w:szCs w:val="20"/>
    </w:rPr>
  </w:style>
  <w:style w:type="paragraph" w:styleId="BalloonText">
    <w:name w:val="Balloon Text"/>
    <w:basedOn w:val="Normal"/>
    <w:link w:val="BalloonTextChar"/>
    <w:uiPriority w:val="99"/>
    <w:semiHidden/>
    <w:unhideWhenUsed/>
    <w:rsid w:val="0039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F4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4FC2"/>
    <w:pPr>
      <w:spacing w:after="200"/>
    </w:pPr>
    <w:rPr>
      <w:b/>
      <w:bCs/>
    </w:rPr>
  </w:style>
  <w:style w:type="character" w:customStyle="1" w:styleId="CommentSubjectChar">
    <w:name w:val="Comment Subject Char"/>
    <w:basedOn w:val="CommentTextChar"/>
    <w:link w:val="CommentSubject"/>
    <w:uiPriority w:val="99"/>
    <w:semiHidden/>
    <w:rsid w:val="00354FC2"/>
    <w:rPr>
      <w:b/>
      <w:bCs/>
      <w:sz w:val="20"/>
      <w:szCs w:val="20"/>
    </w:rPr>
  </w:style>
  <w:style w:type="paragraph" w:styleId="Revision">
    <w:name w:val="Revision"/>
    <w:hidden/>
    <w:uiPriority w:val="99"/>
    <w:semiHidden/>
    <w:rsid w:val="00607205"/>
    <w:pPr>
      <w:spacing w:after="0" w:line="240" w:lineRule="auto"/>
    </w:pPr>
  </w:style>
  <w:style w:type="character" w:styleId="Hyperlink">
    <w:name w:val="Hyperlink"/>
    <w:basedOn w:val="DefaultParagraphFont"/>
    <w:uiPriority w:val="99"/>
    <w:unhideWhenUsed/>
    <w:rsid w:val="001D34C6"/>
    <w:rPr>
      <w:color w:val="0000FF" w:themeColor="hyperlink"/>
      <w:u w:val="single"/>
    </w:rPr>
  </w:style>
  <w:style w:type="character" w:customStyle="1" w:styleId="Mention1">
    <w:name w:val="Mention1"/>
    <w:basedOn w:val="DefaultParagraphFont"/>
    <w:uiPriority w:val="99"/>
    <w:semiHidden/>
    <w:unhideWhenUsed/>
    <w:rsid w:val="001D34C6"/>
    <w:rPr>
      <w:color w:val="2B579A"/>
      <w:shd w:val="clear" w:color="auto" w:fill="E6E6E6"/>
    </w:rPr>
  </w:style>
  <w:style w:type="paragraph" w:styleId="Header">
    <w:name w:val="header"/>
    <w:basedOn w:val="Normal"/>
    <w:link w:val="HeaderChar"/>
    <w:uiPriority w:val="99"/>
    <w:unhideWhenUsed/>
    <w:rsid w:val="00375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D10"/>
  </w:style>
  <w:style w:type="paragraph" w:styleId="Footer">
    <w:name w:val="footer"/>
    <w:basedOn w:val="Normal"/>
    <w:link w:val="FooterChar"/>
    <w:uiPriority w:val="99"/>
    <w:unhideWhenUsed/>
    <w:rsid w:val="00375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D10"/>
  </w:style>
  <w:style w:type="character" w:styleId="FollowedHyperlink">
    <w:name w:val="FollowedHyperlink"/>
    <w:basedOn w:val="DefaultParagraphFont"/>
    <w:uiPriority w:val="99"/>
    <w:semiHidden/>
    <w:unhideWhenUsed/>
    <w:rsid w:val="006C0CEE"/>
    <w:rPr>
      <w:color w:val="800080" w:themeColor="followedHyperlink"/>
      <w:u w:val="single"/>
    </w:rPr>
  </w:style>
  <w:style w:type="paragraph" w:styleId="BodyText">
    <w:name w:val="Body Text"/>
    <w:basedOn w:val="Normal"/>
    <w:link w:val="BodyTextChar"/>
    <w:uiPriority w:val="1"/>
    <w:qFormat/>
    <w:rsid w:val="00490C98"/>
    <w:pPr>
      <w:autoSpaceDE w:val="0"/>
      <w:autoSpaceDN w:val="0"/>
      <w:adjustRightInd w:val="0"/>
      <w:spacing w:before="3" w:after="0" w:line="240" w:lineRule="auto"/>
      <w:ind w:left="233" w:hanging="144"/>
    </w:pPr>
    <w:rPr>
      <w:rFonts w:ascii="Times New Roman" w:hAnsi="Times New Roman" w:cs="Times New Roman"/>
      <w:sz w:val="16"/>
      <w:szCs w:val="16"/>
    </w:rPr>
  </w:style>
  <w:style w:type="character" w:customStyle="1" w:styleId="BodyTextChar">
    <w:name w:val="Body Text Char"/>
    <w:basedOn w:val="DefaultParagraphFont"/>
    <w:link w:val="BodyText"/>
    <w:uiPriority w:val="1"/>
    <w:rsid w:val="00490C98"/>
    <w:rPr>
      <w:rFonts w:ascii="Times New Roman" w:hAnsi="Times New Roman" w:cs="Times New Roman"/>
      <w:sz w:val="16"/>
      <w:szCs w:val="16"/>
    </w:rPr>
  </w:style>
  <w:style w:type="paragraph" w:styleId="NormalWeb">
    <w:name w:val="Normal (Web)"/>
    <w:basedOn w:val="Normal"/>
    <w:uiPriority w:val="99"/>
    <w:semiHidden/>
    <w:unhideWhenUsed/>
    <w:rsid w:val="00667402"/>
    <w:pPr>
      <w:spacing w:before="100" w:beforeAutospacing="1" w:after="100" w:afterAutospacing="1" w:line="240" w:lineRule="auto"/>
    </w:pPr>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4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cines/publications/pharmacopoeia/index-of-pharmacopoeias_17012018.pdf?ua=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pps.who.int/medicinedocs/documents/s22398en/s22398en.pdf" TargetMode="External"/><Relationship Id="rId4" Type="http://schemas.openxmlformats.org/officeDocument/2006/relationships/settings" Target="settings.xml"/><Relationship Id="rId9" Type="http://schemas.openxmlformats.org/officeDocument/2006/relationships/hyperlink" Target="http://www.ich.org/fileadmin/Public_Web_Site/ICH_Products/Guidelines/Quality/Q4B/Step4/Q4B_Guide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D480B-A27A-0647-9002-ED6176C7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Torano</dc:creator>
  <cp:lastModifiedBy>Microsoft Office User</cp:lastModifiedBy>
  <cp:revision>2</cp:revision>
  <cp:lastPrinted>2018-09-14T10:19:00Z</cp:lastPrinted>
  <dcterms:created xsi:type="dcterms:W3CDTF">2019-02-01T09:05:00Z</dcterms:created>
  <dcterms:modified xsi:type="dcterms:W3CDTF">2019-02-01T09:05:00Z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