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92"/>
        <w:gridCol w:w="1576"/>
        <w:gridCol w:w="360"/>
        <w:gridCol w:w="810"/>
        <w:gridCol w:w="990"/>
        <w:gridCol w:w="360"/>
      </w:tblGrid>
      <w:tr w:rsidR="00113277" w:rsidRPr="002F2190" w14:paraId="2EDFC3AD" w14:textId="77777777" w:rsidTr="000A0C78">
        <w:trPr>
          <w:trHeight w:val="288"/>
          <w:jc w:val="center"/>
        </w:trPr>
        <w:tc>
          <w:tcPr>
            <w:tcW w:w="5292" w:type="dxa"/>
            <w:vMerge w:val="restart"/>
            <w:tcBorders>
              <w:top w:val="nil"/>
              <w:left w:val="nil"/>
              <w:bottom w:val="nil"/>
              <w:right w:val="nil"/>
            </w:tcBorders>
          </w:tcPr>
          <w:p w14:paraId="09790A0A" w14:textId="77777777" w:rsidR="00113277" w:rsidRPr="002F2190" w:rsidRDefault="006F2E4F" w:rsidP="000A0C78">
            <w:pPr>
              <w:pStyle w:val="Header"/>
              <w:rPr>
                <w:rFonts w:asciiTheme="minorHAnsi" w:hAnsiTheme="minorHAnsi"/>
                <w:color w:val="31808B"/>
                <w:sz w:val="24"/>
              </w:rPr>
            </w:pPr>
            <w:bookmarkStart w:id="0" w:name="_GoBack"/>
            <w:bookmarkEnd w:id="0"/>
            <w:r w:rsidRPr="002F2190">
              <w:rPr>
                <w:rFonts w:asciiTheme="minorHAnsi" w:hAnsiTheme="minorHAnsi"/>
                <w:noProof/>
                <w:color w:val="31808B"/>
                <w:sz w:val="24"/>
                <w:lang w:val="en-GB" w:eastAsia="en-GB"/>
              </w:rPr>
              <w:drawing>
                <wp:anchor distT="0" distB="0" distL="114300" distR="114300" simplePos="0" relativeHeight="251651072" behindDoc="0" locked="0" layoutInCell="1" allowOverlap="1" wp14:anchorId="118E2817" wp14:editId="15A4C0F1">
                  <wp:simplePos x="0" y="0"/>
                  <wp:positionH relativeFrom="column">
                    <wp:posOffset>-515620</wp:posOffset>
                  </wp:positionH>
                  <wp:positionV relativeFrom="paragraph">
                    <wp:posOffset>-714375</wp:posOffset>
                  </wp:positionV>
                  <wp:extent cx="2436176" cy="1390650"/>
                  <wp:effectExtent l="0" t="0" r="2540" b="6350"/>
                  <wp:wrapNone/>
                  <wp:docPr id="30" name="Picture 29" descr="EFPI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PIA Logo.png"/>
                          <pic:cNvPicPr/>
                        </pic:nvPicPr>
                        <pic:blipFill>
                          <a:blip r:embed="rId11" cstate="print"/>
                          <a:stretch>
                            <a:fillRect/>
                          </a:stretch>
                        </pic:blipFill>
                        <pic:spPr>
                          <a:xfrm>
                            <a:off x="0" y="0"/>
                            <a:ext cx="2436176" cy="1390650"/>
                          </a:xfrm>
                          <a:prstGeom prst="rect">
                            <a:avLst/>
                          </a:prstGeom>
                        </pic:spPr>
                      </pic:pic>
                    </a:graphicData>
                  </a:graphic>
                </wp:anchor>
              </w:drawing>
            </w:r>
          </w:p>
        </w:tc>
        <w:tc>
          <w:tcPr>
            <w:tcW w:w="1576" w:type="dxa"/>
            <w:tcBorders>
              <w:top w:val="nil"/>
              <w:left w:val="nil"/>
              <w:bottom w:val="nil"/>
              <w:right w:val="single" w:sz="18" w:space="0" w:color="808080" w:themeColor="background1" w:themeShade="80"/>
            </w:tcBorders>
            <w:vAlign w:val="center"/>
          </w:tcPr>
          <w:p w14:paraId="0382E898" w14:textId="77777777" w:rsidR="00113277" w:rsidRPr="002F2190" w:rsidRDefault="00113277" w:rsidP="000A0C78">
            <w:pPr>
              <w:pStyle w:val="Header"/>
              <w:jc w:val="left"/>
              <w:rPr>
                <w:rFonts w:asciiTheme="minorHAnsi" w:hAnsiTheme="minorHAnsi"/>
                <w:color w:val="31808B"/>
                <w:sz w:val="24"/>
              </w:rPr>
            </w:pPr>
            <w:r w:rsidRPr="002F2190">
              <w:rPr>
                <w:rFonts w:asciiTheme="minorHAnsi" w:hAnsiTheme="minorHAnsi"/>
                <w:color w:val="31808B"/>
                <w:sz w:val="24"/>
              </w:rPr>
              <w:t>Draft</w:t>
            </w:r>
          </w:p>
        </w:tc>
        <w:tc>
          <w:tcPr>
            <w:tcW w:w="36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5021C338" w14:textId="295A3818" w:rsidR="00113277" w:rsidRPr="002F2190" w:rsidRDefault="00113277" w:rsidP="000A0C78">
            <w:pPr>
              <w:pStyle w:val="Header"/>
              <w:jc w:val="center"/>
              <w:rPr>
                <w:rFonts w:asciiTheme="minorHAnsi" w:hAnsiTheme="minorHAnsi"/>
                <w:color w:val="E36C0A" w:themeColor="accent6" w:themeShade="BF"/>
                <w:sz w:val="24"/>
              </w:rPr>
            </w:pPr>
          </w:p>
        </w:tc>
        <w:tc>
          <w:tcPr>
            <w:tcW w:w="810" w:type="dxa"/>
            <w:tcBorders>
              <w:top w:val="nil"/>
              <w:left w:val="single" w:sz="18" w:space="0" w:color="808080" w:themeColor="background1" w:themeShade="80"/>
              <w:bottom w:val="nil"/>
              <w:right w:val="nil"/>
            </w:tcBorders>
          </w:tcPr>
          <w:p w14:paraId="3A4B176E" w14:textId="49852A01" w:rsidR="00113277" w:rsidRPr="002F2190" w:rsidRDefault="00113277" w:rsidP="000A0C78">
            <w:pPr>
              <w:pStyle w:val="Header"/>
              <w:rPr>
                <w:rFonts w:asciiTheme="minorHAnsi" w:hAnsiTheme="minorHAnsi"/>
                <w:color w:val="31808B"/>
                <w:sz w:val="24"/>
              </w:rPr>
            </w:pPr>
          </w:p>
        </w:tc>
        <w:tc>
          <w:tcPr>
            <w:tcW w:w="990" w:type="dxa"/>
            <w:tcBorders>
              <w:top w:val="nil"/>
              <w:left w:val="nil"/>
              <w:bottom w:val="nil"/>
              <w:right w:val="single" w:sz="18" w:space="0" w:color="808080" w:themeColor="background1" w:themeShade="80"/>
            </w:tcBorders>
            <w:vAlign w:val="center"/>
          </w:tcPr>
          <w:p w14:paraId="6DCEB9DD" w14:textId="73679E92" w:rsidR="00113277" w:rsidRPr="002F2190" w:rsidRDefault="00113277" w:rsidP="000A0C78">
            <w:pPr>
              <w:pStyle w:val="Header"/>
              <w:jc w:val="left"/>
              <w:rPr>
                <w:rFonts w:asciiTheme="minorHAnsi" w:hAnsiTheme="minorHAnsi"/>
                <w:color w:val="31808B"/>
                <w:sz w:val="24"/>
              </w:rPr>
            </w:pPr>
            <w:r w:rsidRPr="002F2190">
              <w:rPr>
                <w:rFonts w:asciiTheme="minorHAnsi" w:hAnsiTheme="minorHAnsi"/>
                <w:color w:val="31808B"/>
                <w:sz w:val="24"/>
              </w:rPr>
              <w:t>Final</w:t>
            </w:r>
          </w:p>
        </w:tc>
        <w:tc>
          <w:tcPr>
            <w:tcW w:w="36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2EBD4A7F" w14:textId="66F56524" w:rsidR="00113277" w:rsidRPr="002F2190" w:rsidRDefault="00DF39D9" w:rsidP="000A0C78">
            <w:pPr>
              <w:pStyle w:val="Header"/>
              <w:jc w:val="center"/>
              <w:rPr>
                <w:rFonts w:asciiTheme="minorHAnsi" w:hAnsiTheme="minorHAnsi"/>
                <w:color w:val="E36C0A" w:themeColor="accent6" w:themeShade="BF"/>
                <w:sz w:val="24"/>
              </w:rPr>
            </w:pPr>
            <w:r w:rsidRPr="002F2190">
              <w:rPr>
                <w:rFonts w:asciiTheme="minorHAnsi" w:hAnsiTheme="minorHAnsi" w:cs="Arial"/>
                <w:noProof/>
                <w:sz w:val="22"/>
                <w:szCs w:val="20"/>
                <w:lang w:val="en-GB" w:eastAsia="en-GB"/>
              </w:rPr>
              <w:drawing>
                <wp:inline distT="0" distB="0" distL="0" distR="0" wp14:anchorId="2293ECD0" wp14:editId="3CB05DCB">
                  <wp:extent cx="114972" cy="120650"/>
                  <wp:effectExtent l="0" t="0" r="0" b="0"/>
                  <wp:docPr id="23"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12" cstate="print"/>
                          <a:stretch>
                            <a:fillRect/>
                          </a:stretch>
                        </pic:blipFill>
                        <pic:spPr>
                          <a:xfrm>
                            <a:off x="0" y="0"/>
                            <a:ext cx="114913" cy="120588"/>
                          </a:xfrm>
                          <a:prstGeom prst="rect">
                            <a:avLst/>
                          </a:prstGeom>
                        </pic:spPr>
                      </pic:pic>
                    </a:graphicData>
                  </a:graphic>
                </wp:inline>
              </w:drawing>
            </w:r>
            <w:r w:rsidR="00AC2E66" w:rsidRPr="002F2190">
              <w:rPr>
                <w:rFonts w:asciiTheme="minorHAnsi" w:hAnsiTheme="minorHAnsi"/>
                <w:noProof/>
                <w:color w:val="E36C0A" w:themeColor="accent6" w:themeShade="BF"/>
                <w:sz w:val="24"/>
                <w:lang w:val="en-GB" w:eastAsia="en-GB"/>
              </w:rPr>
              <w:drawing>
                <wp:anchor distT="0" distB="0" distL="114300" distR="114300" simplePos="0" relativeHeight="251650048" behindDoc="0" locked="0" layoutInCell="1" allowOverlap="1" wp14:anchorId="6C8A9512" wp14:editId="0FAA82AF">
                  <wp:simplePos x="0" y="0"/>
                  <wp:positionH relativeFrom="column">
                    <wp:posOffset>37465</wp:posOffset>
                  </wp:positionH>
                  <wp:positionV relativeFrom="paragraph">
                    <wp:posOffset>53975</wp:posOffset>
                  </wp:positionV>
                  <wp:extent cx="132080" cy="135890"/>
                  <wp:effectExtent l="0" t="0" r="0" b="0"/>
                  <wp:wrapNone/>
                  <wp:docPr id="2" name="Picture 1"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13" cstate="print"/>
                          <a:stretch>
                            <a:fillRect/>
                          </a:stretch>
                        </pic:blipFill>
                        <pic:spPr>
                          <a:xfrm>
                            <a:off x="0" y="0"/>
                            <a:ext cx="132080" cy="135890"/>
                          </a:xfrm>
                          <a:prstGeom prst="rect">
                            <a:avLst/>
                          </a:prstGeom>
                        </pic:spPr>
                      </pic:pic>
                    </a:graphicData>
                  </a:graphic>
                  <wp14:sizeRelH relativeFrom="margin">
                    <wp14:pctWidth>0</wp14:pctWidth>
                  </wp14:sizeRelH>
                  <wp14:sizeRelV relativeFrom="margin">
                    <wp14:pctHeight>0</wp14:pctHeight>
                  </wp14:sizeRelV>
                </wp:anchor>
              </w:drawing>
            </w:r>
          </w:p>
        </w:tc>
      </w:tr>
      <w:tr w:rsidR="00113277" w:rsidRPr="002F2190" w14:paraId="1A86B339" w14:textId="77777777" w:rsidTr="000A0C78">
        <w:trPr>
          <w:jc w:val="center"/>
        </w:trPr>
        <w:tc>
          <w:tcPr>
            <w:tcW w:w="5292" w:type="dxa"/>
            <w:vMerge/>
            <w:tcBorders>
              <w:top w:val="nil"/>
              <w:left w:val="nil"/>
              <w:bottom w:val="nil"/>
              <w:right w:val="nil"/>
            </w:tcBorders>
          </w:tcPr>
          <w:p w14:paraId="5962A002" w14:textId="77777777" w:rsidR="00113277" w:rsidRPr="002F2190" w:rsidRDefault="00113277" w:rsidP="000A0C78">
            <w:pPr>
              <w:pStyle w:val="Header"/>
              <w:rPr>
                <w:rFonts w:asciiTheme="minorHAnsi" w:hAnsiTheme="minorHAnsi"/>
                <w:color w:val="31808B"/>
              </w:rPr>
            </w:pPr>
          </w:p>
        </w:tc>
        <w:tc>
          <w:tcPr>
            <w:tcW w:w="1576" w:type="dxa"/>
            <w:tcBorders>
              <w:top w:val="nil"/>
              <w:left w:val="nil"/>
              <w:bottom w:val="nil"/>
              <w:right w:val="nil"/>
            </w:tcBorders>
            <w:vAlign w:val="center"/>
          </w:tcPr>
          <w:p w14:paraId="37A1569A" w14:textId="77777777" w:rsidR="00113277" w:rsidRPr="002F2190" w:rsidRDefault="00113277" w:rsidP="000A0C78">
            <w:pPr>
              <w:pStyle w:val="Header"/>
              <w:jc w:val="left"/>
              <w:rPr>
                <w:rFonts w:asciiTheme="minorHAnsi" w:hAnsiTheme="minorHAnsi"/>
                <w:color w:val="31808B"/>
              </w:rPr>
            </w:pPr>
          </w:p>
        </w:tc>
        <w:tc>
          <w:tcPr>
            <w:tcW w:w="360" w:type="dxa"/>
            <w:tcBorders>
              <w:top w:val="single" w:sz="18" w:space="0" w:color="808080" w:themeColor="background1" w:themeShade="80"/>
              <w:left w:val="nil"/>
              <w:bottom w:val="nil"/>
              <w:right w:val="nil"/>
            </w:tcBorders>
            <w:vAlign w:val="center"/>
          </w:tcPr>
          <w:p w14:paraId="43841EAC" w14:textId="77777777" w:rsidR="00113277" w:rsidRPr="002F2190" w:rsidRDefault="00113277" w:rsidP="000A0C78">
            <w:pPr>
              <w:pStyle w:val="Header"/>
              <w:jc w:val="left"/>
              <w:rPr>
                <w:rFonts w:asciiTheme="minorHAnsi" w:hAnsiTheme="minorHAnsi"/>
                <w:color w:val="31808B"/>
              </w:rPr>
            </w:pPr>
          </w:p>
        </w:tc>
        <w:tc>
          <w:tcPr>
            <w:tcW w:w="810" w:type="dxa"/>
            <w:tcBorders>
              <w:top w:val="nil"/>
              <w:left w:val="nil"/>
              <w:bottom w:val="nil"/>
              <w:right w:val="nil"/>
            </w:tcBorders>
          </w:tcPr>
          <w:p w14:paraId="3E998653" w14:textId="77777777" w:rsidR="00113277" w:rsidRPr="002F2190" w:rsidRDefault="00113277" w:rsidP="000A0C78">
            <w:pPr>
              <w:pStyle w:val="Header"/>
              <w:rPr>
                <w:rFonts w:asciiTheme="minorHAnsi" w:hAnsiTheme="minorHAnsi"/>
                <w:color w:val="31808B"/>
              </w:rPr>
            </w:pPr>
          </w:p>
        </w:tc>
        <w:tc>
          <w:tcPr>
            <w:tcW w:w="990" w:type="dxa"/>
            <w:tcBorders>
              <w:top w:val="nil"/>
              <w:left w:val="nil"/>
              <w:bottom w:val="nil"/>
              <w:right w:val="nil"/>
            </w:tcBorders>
            <w:vAlign w:val="center"/>
          </w:tcPr>
          <w:p w14:paraId="22C2EFD4" w14:textId="77777777" w:rsidR="00113277" w:rsidRPr="002F2190" w:rsidRDefault="00113277" w:rsidP="000A0C78">
            <w:pPr>
              <w:pStyle w:val="Header"/>
              <w:jc w:val="left"/>
              <w:rPr>
                <w:rFonts w:asciiTheme="minorHAnsi" w:hAnsiTheme="minorHAnsi"/>
                <w:color w:val="31808B"/>
              </w:rPr>
            </w:pPr>
          </w:p>
        </w:tc>
        <w:tc>
          <w:tcPr>
            <w:tcW w:w="360" w:type="dxa"/>
            <w:tcBorders>
              <w:top w:val="single" w:sz="18" w:space="0" w:color="808080" w:themeColor="background1" w:themeShade="80"/>
              <w:left w:val="nil"/>
              <w:bottom w:val="nil"/>
              <w:right w:val="nil"/>
            </w:tcBorders>
            <w:vAlign w:val="center"/>
          </w:tcPr>
          <w:p w14:paraId="2B774B0B" w14:textId="77777777" w:rsidR="00113277" w:rsidRPr="002F2190" w:rsidRDefault="00113277" w:rsidP="000A0C78">
            <w:pPr>
              <w:pStyle w:val="Header"/>
              <w:jc w:val="left"/>
              <w:rPr>
                <w:rFonts w:asciiTheme="minorHAnsi" w:hAnsiTheme="minorHAnsi"/>
                <w:color w:val="31808B"/>
              </w:rPr>
            </w:pPr>
          </w:p>
        </w:tc>
      </w:tr>
    </w:tbl>
    <w:p w14:paraId="3C965D76" w14:textId="77777777" w:rsidR="00113277" w:rsidRPr="002F2190" w:rsidRDefault="00113277" w:rsidP="00113277">
      <w:pPr>
        <w:pStyle w:val="Header"/>
        <w:rPr>
          <w:rFonts w:asciiTheme="minorHAnsi" w:hAnsiTheme="minorHAnsi"/>
        </w:rPr>
      </w:pPr>
    </w:p>
    <w:p w14:paraId="6F8C43D8" w14:textId="77777777" w:rsidR="00113277" w:rsidRPr="002F2190" w:rsidRDefault="00113277" w:rsidP="00113277">
      <w:pPr>
        <w:pStyle w:val="Header"/>
        <w:rPr>
          <w:rFonts w:asciiTheme="minorHAnsi" w:hAnsiTheme="minorHAnsi"/>
        </w:rPr>
      </w:pPr>
    </w:p>
    <w:p w14:paraId="73139659" w14:textId="77777777" w:rsidR="00113277" w:rsidRPr="002F2190" w:rsidRDefault="00113277" w:rsidP="00113277">
      <w:pPr>
        <w:pStyle w:val="Header"/>
        <w:rPr>
          <w:rFonts w:asciiTheme="minorHAnsi" w:hAnsiTheme="minorHAnsi"/>
        </w:rPr>
      </w:pPr>
    </w:p>
    <w:p w14:paraId="517BCF4A" w14:textId="77777777" w:rsidR="00113277" w:rsidRPr="002F2190" w:rsidRDefault="00113277" w:rsidP="00113277">
      <w:pPr>
        <w:pStyle w:val="Header"/>
        <w:rPr>
          <w:rFonts w:asciiTheme="minorHAnsi" w:hAnsiTheme="minorHAnsi"/>
        </w:rPr>
      </w:pPr>
    </w:p>
    <w:tbl>
      <w:tblPr>
        <w:tblW w:w="5000" w:type="pct"/>
        <w:jc w:val="center"/>
        <w:tblCellMar>
          <w:left w:w="0" w:type="dxa"/>
          <w:right w:w="0" w:type="dxa"/>
        </w:tblCellMar>
        <w:tblLook w:val="0000" w:firstRow="0" w:lastRow="0" w:firstColumn="0" w:lastColumn="0" w:noHBand="0" w:noVBand="0"/>
      </w:tblPr>
      <w:tblGrid>
        <w:gridCol w:w="9360"/>
      </w:tblGrid>
      <w:tr w:rsidR="00113277" w:rsidRPr="002F2190" w14:paraId="4BF6E5F9" w14:textId="77777777" w:rsidTr="000A0C78">
        <w:trPr>
          <w:cantSplit/>
          <w:trHeight w:val="346"/>
          <w:jc w:val="center"/>
        </w:trPr>
        <w:tc>
          <w:tcPr>
            <w:tcW w:w="5000" w:type="pct"/>
          </w:tcPr>
          <w:p w14:paraId="311A1BAE" w14:textId="62974CAF" w:rsidR="006B3863" w:rsidRPr="00D53C14" w:rsidRDefault="00AD200A" w:rsidP="005831F9">
            <w:pPr>
              <w:tabs>
                <w:tab w:val="left" w:pos="1454"/>
                <w:tab w:val="right" w:pos="4859"/>
              </w:tabs>
              <w:jc w:val="left"/>
              <w:rPr>
                <w:rFonts w:asciiTheme="minorHAnsi" w:hAnsiTheme="minorHAnsi" w:cs="Agfa Rotis Sans Serif"/>
                <w:b/>
                <w:bCs/>
                <w:color w:val="808080" w:themeColor="background1" w:themeShade="80"/>
                <w:sz w:val="28"/>
                <w:szCs w:val="28"/>
              </w:rPr>
            </w:pPr>
            <w:r w:rsidRPr="00D53C14">
              <w:rPr>
                <w:rFonts w:asciiTheme="minorHAnsi" w:hAnsiTheme="minorHAnsi" w:cs="Agfa Rotis Sans Serif"/>
                <w:b/>
                <w:bCs/>
                <w:color w:val="808080" w:themeColor="background1" w:themeShade="80"/>
                <w:sz w:val="28"/>
                <w:szCs w:val="28"/>
              </w:rPr>
              <w:t xml:space="preserve">Submission of </w:t>
            </w:r>
            <w:r w:rsidR="00265629" w:rsidRPr="00D53C14">
              <w:rPr>
                <w:rFonts w:asciiTheme="minorHAnsi" w:hAnsiTheme="minorHAnsi" w:cs="Agfa Rotis Sans Serif"/>
                <w:b/>
                <w:bCs/>
                <w:color w:val="808080" w:themeColor="background1" w:themeShade="80"/>
                <w:sz w:val="28"/>
                <w:szCs w:val="28"/>
              </w:rPr>
              <w:t>EFPIA</w:t>
            </w:r>
            <w:r w:rsidR="00D53C14" w:rsidRPr="00D53C14">
              <w:rPr>
                <w:rFonts w:asciiTheme="minorHAnsi" w:hAnsiTheme="minorHAnsi" w:cs="Agfa Rotis Sans Serif"/>
                <w:b/>
                <w:bCs/>
                <w:color w:val="808080" w:themeColor="background1" w:themeShade="80"/>
                <w:sz w:val="28"/>
                <w:szCs w:val="28"/>
              </w:rPr>
              <w:t xml:space="preserve"> </w:t>
            </w:r>
            <w:r w:rsidRPr="00D53C14">
              <w:rPr>
                <w:rFonts w:asciiTheme="minorHAnsi" w:hAnsiTheme="minorHAnsi" w:cs="Agfa Rotis Sans Serif"/>
                <w:b/>
                <w:bCs/>
                <w:color w:val="808080" w:themeColor="background1" w:themeShade="80"/>
                <w:sz w:val="28"/>
                <w:szCs w:val="28"/>
              </w:rPr>
              <w:t xml:space="preserve">comments </w:t>
            </w:r>
            <w:r w:rsidR="00265629" w:rsidRPr="00D53C14">
              <w:rPr>
                <w:rFonts w:asciiTheme="minorHAnsi" w:hAnsiTheme="minorHAnsi" w:cs="Agfa Rotis Sans Serif"/>
                <w:b/>
                <w:bCs/>
                <w:color w:val="808080" w:themeColor="background1" w:themeShade="80"/>
                <w:sz w:val="28"/>
                <w:szCs w:val="28"/>
              </w:rPr>
              <w:t xml:space="preserve">on </w:t>
            </w:r>
            <w:r w:rsidR="006B3863">
              <w:rPr>
                <w:rFonts w:asciiTheme="minorHAnsi" w:hAnsiTheme="minorHAnsi" w:cs="Agfa Rotis Sans Serif"/>
                <w:b/>
                <w:bCs/>
                <w:color w:val="808080" w:themeColor="background1" w:themeShade="80"/>
                <w:sz w:val="28"/>
                <w:szCs w:val="28"/>
              </w:rPr>
              <w:t xml:space="preserve">the EU Commission’s Inception Impact Assessment for </w:t>
            </w:r>
            <w:r w:rsidR="006B3863" w:rsidRPr="006B3863">
              <w:rPr>
                <w:rFonts w:asciiTheme="minorHAnsi" w:hAnsiTheme="minorHAnsi" w:cs="Agfa Rotis Sans Serif"/>
                <w:b/>
                <w:bCs/>
                <w:color w:val="808080" w:themeColor="background1" w:themeShade="80"/>
                <w:sz w:val="28"/>
                <w:szCs w:val="28"/>
              </w:rPr>
              <w:t>Revision of the EMA fee system</w:t>
            </w:r>
          </w:p>
          <w:p w14:paraId="53F07CF7" w14:textId="77777777" w:rsidR="00113277" w:rsidRPr="00AD200A" w:rsidRDefault="005831F9" w:rsidP="005831F9">
            <w:pPr>
              <w:tabs>
                <w:tab w:val="left" w:pos="1454"/>
                <w:tab w:val="right" w:pos="4859"/>
              </w:tabs>
              <w:jc w:val="left"/>
              <w:rPr>
                <w:rFonts w:asciiTheme="minorHAnsi" w:hAnsiTheme="minorHAnsi" w:cs="Agfa Rotis Sans Serif"/>
                <w:b/>
                <w:bCs/>
                <w:color w:val="808080" w:themeColor="background1" w:themeShade="80"/>
                <w:sz w:val="32"/>
                <w:szCs w:val="40"/>
                <w:lang w:val="en-GB"/>
              </w:rPr>
            </w:pPr>
            <w:r w:rsidRPr="005831F9">
              <w:rPr>
                <w:rFonts w:asciiTheme="minorHAnsi" w:hAnsiTheme="minorHAnsi" w:cs="Agfa Rotis Sans Serif"/>
                <w:b/>
                <w:bCs/>
                <w:color w:val="808080" w:themeColor="background1" w:themeShade="80"/>
                <w:sz w:val="32"/>
                <w:szCs w:val="40"/>
                <w:lang w:val="en-GB"/>
              </w:rPr>
              <w:t xml:space="preserve"> </w:t>
            </w:r>
          </w:p>
        </w:tc>
      </w:tr>
      <w:tr w:rsidR="00113277" w:rsidRPr="002F2190" w14:paraId="7580D1B7" w14:textId="2BBE56E3" w:rsidTr="000A0C78">
        <w:trPr>
          <w:cantSplit/>
          <w:trHeight w:val="346"/>
          <w:jc w:val="center"/>
        </w:trPr>
        <w:tc>
          <w:tcPr>
            <w:tcW w:w="5000" w:type="pct"/>
          </w:tcPr>
          <w:p w14:paraId="59E15DEB" w14:textId="77777777" w:rsidR="00113277" w:rsidRPr="002F2190" w:rsidRDefault="00113277" w:rsidP="000A0C78">
            <w:pPr>
              <w:pStyle w:val="Default"/>
              <w:rPr>
                <w:rFonts w:asciiTheme="minorHAnsi" w:hAnsiTheme="minorHAnsi"/>
                <w:sz w:val="22"/>
                <w:szCs w:val="20"/>
              </w:rPr>
            </w:pPr>
          </w:p>
          <w:p w14:paraId="548B9251" w14:textId="0421B09D" w:rsidR="00113277" w:rsidRPr="006B3863" w:rsidRDefault="00113277" w:rsidP="00351ABB">
            <w:pPr>
              <w:tabs>
                <w:tab w:val="left" w:pos="1454"/>
                <w:tab w:val="right" w:pos="4859"/>
              </w:tabs>
              <w:rPr>
                <w:rFonts w:asciiTheme="minorHAnsi" w:hAnsiTheme="minorHAnsi" w:cs="Arial"/>
                <w:b/>
                <w:bCs/>
                <w:sz w:val="22"/>
                <w:szCs w:val="20"/>
              </w:rPr>
            </w:pPr>
            <w:r w:rsidRPr="002F2190">
              <w:rPr>
                <w:rFonts w:asciiTheme="minorHAnsi" w:hAnsiTheme="minorHAnsi" w:cs="Arial"/>
                <w:b/>
                <w:bCs/>
                <w:color w:val="31808B"/>
                <w:sz w:val="22"/>
                <w:szCs w:val="20"/>
              </w:rPr>
              <w:t>Author:</w:t>
            </w:r>
            <w:r w:rsidRPr="002F2190">
              <w:rPr>
                <w:rFonts w:asciiTheme="minorHAnsi" w:hAnsiTheme="minorHAnsi" w:cs="Arial"/>
                <w:b/>
                <w:bCs/>
                <w:sz w:val="22"/>
                <w:szCs w:val="20"/>
              </w:rPr>
              <w:t xml:space="preserve"> </w:t>
            </w:r>
            <w:r w:rsidR="009C190C">
              <w:rPr>
                <w:rFonts w:asciiTheme="minorHAnsi" w:hAnsiTheme="minorHAnsi" w:cs="Arial"/>
                <w:b/>
                <w:bCs/>
                <w:color w:val="808080" w:themeColor="background1" w:themeShade="80"/>
                <w:sz w:val="22"/>
                <w:szCs w:val="20"/>
              </w:rPr>
              <w:t>EFPIA</w:t>
            </w:r>
            <w:r w:rsidR="00351ABB">
              <w:rPr>
                <w:rFonts w:asciiTheme="minorHAnsi" w:hAnsiTheme="minorHAnsi" w:cs="Arial"/>
                <w:b/>
                <w:bCs/>
                <w:color w:val="808080" w:themeColor="background1" w:themeShade="80"/>
                <w:sz w:val="22"/>
                <w:szCs w:val="20"/>
              </w:rPr>
              <w:t xml:space="preserve"> </w:t>
            </w:r>
            <w:r w:rsidR="008D30DC" w:rsidRPr="002F2190">
              <w:rPr>
                <w:rFonts w:asciiTheme="minorHAnsi" w:hAnsiTheme="minorHAnsi" w:cs="Arial"/>
                <w:noProof/>
                <w:sz w:val="22"/>
                <w:szCs w:val="20"/>
                <w:lang w:val="en-GB" w:eastAsia="en-GB"/>
              </w:rPr>
              <w:drawing>
                <wp:inline distT="0" distB="0" distL="0" distR="0" wp14:anchorId="75C5EC76" wp14:editId="450D73B0">
                  <wp:extent cx="114972" cy="120650"/>
                  <wp:effectExtent l="0" t="0" r="0" b="0"/>
                  <wp:docPr id="5"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12" cstate="print"/>
                          <a:stretch>
                            <a:fillRect/>
                          </a:stretch>
                        </pic:blipFill>
                        <pic:spPr>
                          <a:xfrm>
                            <a:off x="0" y="0"/>
                            <a:ext cx="114913" cy="120588"/>
                          </a:xfrm>
                          <a:prstGeom prst="rect">
                            <a:avLst/>
                          </a:prstGeom>
                        </pic:spPr>
                      </pic:pic>
                    </a:graphicData>
                  </a:graphic>
                </wp:inline>
              </w:drawing>
            </w:r>
            <w:r w:rsidRPr="002F2190">
              <w:rPr>
                <w:rStyle w:val="A0"/>
                <w:rFonts w:asciiTheme="minorHAnsi" w:hAnsiTheme="minorHAnsi" w:cs="Arial"/>
                <w:sz w:val="22"/>
                <w:szCs w:val="20"/>
              </w:rPr>
              <w:t xml:space="preserve"> </w:t>
            </w:r>
            <w:r w:rsidRPr="002F2190">
              <w:rPr>
                <w:rFonts w:asciiTheme="minorHAnsi" w:hAnsiTheme="minorHAnsi" w:cs="Arial"/>
                <w:b/>
                <w:bCs/>
                <w:color w:val="31808B"/>
                <w:sz w:val="22"/>
                <w:szCs w:val="20"/>
              </w:rPr>
              <w:t>Date:</w:t>
            </w:r>
            <w:r w:rsidRPr="002F2190">
              <w:rPr>
                <w:rFonts w:asciiTheme="minorHAnsi" w:hAnsiTheme="minorHAnsi" w:cs="Arial"/>
                <w:b/>
                <w:bCs/>
                <w:sz w:val="22"/>
                <w:szCs w:val="20"/>
              </w:rPr>
              <w:t xml:space="preserve"> </w:t>
            </w:r>
            <w:r w:rsidR="00BF0716">
              <w:rPr>
                <w:rFonts w:asciiTheme="minorHAnsi" w:hAnsiTheme="minorHAnsi" w:cs="Arial"/>
                <w:b/>
                <w:bCs/>
                <w:sz w:val="22"/>
                <w:szCs w:val="20"/>
              </w:rPr>
              <w:t>1</w:t>
            </w:r>
            <w:r w:rsidR="00002D1A">
              <w:rPr>
                <w:rFonts w:asciiTheme="minorHAnsi" w:hAnsiTheme="minorHAnsi" w:cs="Arial"/>
                <w:b/>
                <w:bCs/>
                <w:sz w:val="22"/>
                <w:szCs w:val="20"/>
              </w:rPr>
              <w:t>5</w:t>
            </w:r>
            <w:r w:rsidR="00BF0716">
              <w:rPr>
                <w:rFonts w:asciiTheme="minorHAnsi" w:hAnsiTheme="minorHAnsi" w:cs="Arial"/>
                <w:b/>
                <w:bCs/>
                <w:sz w:val="22"/>
                <w:szCs w:val="20"/>
              </w:rPr>
              <w:t xml:space="preserve"> </w:t>
            </w:r>
            <w:r w:rsidR="00B822BD">
              <w:rPr>
                <w:rFonts w:asciiTheme="minorHAnsi" w:hAnsiTheme="minorHAnsi" w:cs="Arial"/>
                <w:b/>
                <w:bCs/>
                <w:sz w:val="22"/>
                <w:szCs w:val="20"/>
              </w:rPr>
              <w:t>Octob</w:t>
            </w:r>
            <w:r w:rsidR="00937414">
              <w:rPr>
                <w:rFonts w:asciiTheme="minorHAnsi" w:hAnsiTheme="minorHAnsi" w:cs="Arial"/>
                <w:b/>
                <w:bCs/>
                <w:sz w:val="22"/>
                <w:szCs w:val="20"/>
              </w:rPr>
              <w:t>er 2019</w:t>
            </w:r>
            <w:r w:rsidR="00351ABB">
              <w:rPr>
                <w:rFonts w:asciiTheme="minorHAnsi" w:hAnsiTheme="minorHAnsi" w:cs="Arial"/>
                <w:b/>
                <w:bCs/>
                <w:color w:val="7F7F7F" w:themeColor="text1" w:themeTint="80"/>
                <w:sz w:val="22"/>
                <w:szCs w:val="20"/>
              </w:rPr>
              <w:t xml:space="preserve"> </w:t>
            </w:r>
            <w:r w:rsidR="007E20D2" w:rsidRPr="00AC2E66">
              <w:rPr>
                <w:rFonts w:asciiTheme="minorHAnsi" w:hAnsiTheme="minorHAnsi" w:cs="Arial"/>
                <w:b/>
                <w:bCs/>
                <w:color w:val="7F7F7F" w:themeColor="text1" w:themeTint="80"/>
                <w:sz w:val="22"/>
                <w:szCs w:val="20"/>
              </w:rPr>
              <w:t xml:space="preserve"> </w:t>
            </w:r>
            <w:r w:rsidRPr="002F2190">
              <w:rPr>
                <w:rFonts w:asciiTheme="minorHAnsi" w:hAnsiTheme="minorHAnsi" w:cs="Arial"/>
                <w:b/>
                <w:bCs/>
                <w:sz w:val="22"/>
                <w:szCs w:val="20"/>
              </w:rPr>
              <w:t xml:space="preserve"> </w:t>
            </w:r>
            <w:r w:rsidR="008D30DC" w:rsidRPr="002F2190">
              <w:rPr>
                <w:rFonts w:asciiTheme="minorHAnsi" w:hAnsiTheme="minorHAnsi" w:cs="Arial"/>
                <w:noProof/>
                <w:sz w:val="22"/>
                <w:szCs w:val="20"/>
                <w:lang w:val="en-GB" w:eastAsia="en-GB"/>
              </w:rPr>
              <w:drawing>
                <wp:inline distT="0" distB="0" distL="0" distR="0" wp14:anchorId="301BF47D" wp14:editId="3B7F392D">
                  <wp:extent cx="114972" cy="120650"/>
                  <wp:effectExtent l="0" t="0" r="0" b="0"/>
                  <wp:docPr id="8"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12" cstate="print"/>
                          <a:stretch>
                            <a:fillRect/>
                          </a:stretch>
                        </pic:blipFill>
                        <pic:spPr>
                          <a:xfrm>
                            <a:off x="0" y="0"/>
                            <a:ext cx="114913" cy="120588"/>
                          </a:xfrm>
                          <a:prstGeom prst="rect">
                            <a:avLst/>
                          </a:prstGeom>
                        </pic:spPr>
                      </pic:pic>
                    </a:graphicData>
                  </a:graphic>
                </wp:inline>
              </w:drawing>
            </w:r>
            <w:r w:rsidRPr="002F2190">
              <w:rPr>
                <w:rStyle w:val="A0"/>
                <w:rFonts w:asciiTheme="minorHAnsi" w:hAnsiTheme="minorHAnsi" w:cs="Arial"/>
                <w:sz w:val="22"/>
                <w:szCs w:val="20"/>
              </w:rPr>
              <w:t xml:space="preserve"> </w:t>
            </w:r>
            <w:r w:rsidRPr="002F2190">
              <w:rPr>
                <w:rFonts w:asciiTheme="minorHAnsi" w:hAnsiTheme="minorHAnsi" w:cs="Arial"/>
                <w:b/>
                <w:bCs/>
                <w:color w:val="31808B"/>
                <w:sz w:val="22"/>
                <w:szCs w:val="20"/>
              </w:rPr>
              <w:t>Version:</w:t>
            </w:r>
            <w:r w:rsidRPr="002F2190">
              <w:rPr>
                <w:rFonts w:asciiTheme="minorHAnsi" w:hAnsiTheme="minorHAnsi" w:cs="Arial"/>
                <w:b/>
                <w:bCs/>
                <w:sz w:val="22"/>
                <w:szCs w:val="20"/>
              </w:rPr>
              <w:t xml:space="preserve"> </w:t>
            </w:r>
            <w:r w:rsidR="00B53B11">
              <w:rPr>
                <w:rFonts w:asciiTheme="minorHAnsi" w:hAnsiTheme="minorHAnsi" w:cs="Arial"/>
                <w:b/>
                <w:bCs/>
                <w:sz w:val="22"/>
                <w:szCs w:val="20"/>
              </w:rPr>
              <w:t>Final</w:t>
            </w:r>
          </w:p>
        </w:tc>
      </w:tr>
    </w:tbl>
    <w:p w14:paraId="69FA5B2E" w14:textId="77777777" w:rsidR="00113277" w:rsidRPr="002F2190" w:rsidRDefault="00113277">
      <w:pPr>
        <w:rPr>
          <w:rFonts w:asciiTheme="minorHAnsi" w:hAnsiTheme="minorHAnsi"/>
        </w:rPr>
      </w:pPr>
    </w:p>
    <w:p w14:paraId="4488DDBC" w14:textId="77777777" w:rsidR="003A76D8" w:rsidRPr="002F2190" w:rsidRDefault="003A76D8">
      <w:pPr>
        <w:rPr>
          <w:rFonts w:asciiTheme="minorHAnsi" w:hAnsiTheme="minorHAnsi"/>
        </w:rPr>
      </w:pPr>
    </w:p>
    <w:tbl>
      <w:tblPr>
        <w:tblStyle w:val="TableGrid"/>
        <w:tblW w:w="99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934"/>
        <w:gridCol w:w="935"/>
        <w:gridCol w:w="935"/>
        <w:gridCol w:w="934"/>
        <w:gridCol w:w="510"/>
        <w:gridCol w:w="1360"/>
        <w:gridCol w:w="934"/>
        <w:gridCol w:w="935"/>
        <w:gridCol w:w="935"/>
        <w:gridCol w:w="1516"/>
      </w:tblGrid>
      <w:tr w:rsidR="00AF386A" w:rsidRPr="002F2190" w14:paraId="76A5CC42" w14:textId="77777777" w:rsidTr="00BC1C0B">
        <w:trPr>
          <w:trHeight w:val="719"/>
        </w:trPr>
        <w:tc>
          <w:tcPr>
            <w:tcW w:w="934" w:type="dxa"/>
          </w:tcPr>
          <w:p w14:paraId="51AF4FF6" w14:textId="77777777" w:rsidR="00AF386A" w:rsidRPr="002F2190" w:rsidRDefault="00AF386A" w:rsidP="000A0C78">
            <w:pPr>
              <w:jc w:val="center"/>
              <w:rPr>
                <w:rFonts w:asciiTheme="minorHAnsi" w:hAnsiTheme="minorHAnsi"/>
              </w:rPr>
            </w:pPr>
            <w:r w:rsidRPr="002F2190">
              <w:rPr>
                <w:rFonts w:asciiTheme="minorHAnsi" w:hAnsiTheme="minorHAnsi"/>
                <w:noProof/>
                <w:lang w:val="en-GB" w:eastAsia="en-GB"/>
              </w:rPr>
              <w:drawing>
                <wp:inline distT="0" distB="0" distL="0" distR="0" wp14:anchorId="1AC13E0E" wp14:editId="0276563D">
                  <wp:extent cx="515339" cy="519047"/>
                  <wp:effectExtent l="19050" t="0" r="0" b="0"/>
                  <wp:docPr id="1" name="Picture 0" descr="Blo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4.png"/>
                          <pic:cNvPicPr/>
                        </pic:nvPicPr>
                        <pic:blipFill>
                          <a:blip r:embed="rId14"/>
                          <a:srcRect r="10800" b="10800"/>
                          <a:stretch>
                            <a:fillRect/>
                          </a:stretch>
                        </pic:blipFill>
                        <pic:spPr>
                          <a:xfrm>
                            <a:off x="0" y="0"/>
                            <a:ext cx="515339" cy="519047"/>
                          </a:xfrm>
                          <a:prstGeom prst="rect">
                            <a:avLst/>
                          </a:prstGeom>
                        </pic:spPr>
                      </pic:pic>
                    </a:graphicData>
                  </a:graphic>
                </wp:inline>
              </w:drawing>
            </w:r>
          </w:p>
        </w:tc>
        <w:tc>
          <w:tcPr>
            <w:tcW w:w="935" w:type="dxa"/>
          </w:tcPr>
          <w:p w14:paraId="4D9B61F7" w14:textId="77777777" w:rsidR="00AF386A" w:rsidRPr="002F2190" w:rsidRDefault="00AF386A" w:rsidP="000A0C78">
            <w:pPr>
              <w:jc w:val="center"/>
              <w:rPr>
                <w:rFonts w:asciiTheme="minorHAnsi" w:hAnsiTheme="minorHAnsi"/>
              </w:rPr>
            </w:pPr>
            <w:r w:rsidRPr="002F2190">
              <w:rPr>
                <w:rFonts w:asciiTheme="minorHAnsi" w:hAnsiTheme="minorHAnsi"/>
                <w:noProof/>
                <w:lang w:val="en-GB" w:eastAsia="en-GB"/>
              </w:rPr>
              <w:drawing>
                <wp:inline distT="0" distB="0" distL="0" distR="0" wp14:anchorId="10D709A7" wp14:editId="2499F495">
                  <wp:extent cx="515339" cy="519047"/>
                  <wp:effectExtent l="19050" t="0" r="0" b="0"/>
                  <wp:docPr id="7" name="Picture 6" descr="Blo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5.png"/>
                          <pic:cNvPicPr/>
                        </pic:nvPicPr>
                        <pic:blipFill>
                          <a:blip r:embed="rId15"/>
                          <a:srcRect r="10800" b="10800"/>
                          <a:stretch>
                            <a:fillRect/>
                          </a:stretch>
                        </pic:blipFill>
                        <pic:spPr>
                          <a:xfrm>
                            <a:off x="0" y="0"/>
                            <a:ext cx="515339" cy="519047"/>
                          </a:xfrm>
                          <a:prstGeom prst="rect">
                            <a:avLst/>
                          </a:prstGeom>
                        </pic:spPr>
                      </pic:pic>
                    </a:graphicData>
                  </a:graphic>
                </wp:inline>
              </w:drawing>
            </w:r>
          </w:p>
        </w:tc>
        <w:tc>
          <w:tcPr>
            <w:tcW w:w="935" w:type="dxa"/>
          </w:tcPr>
          <w:p w14:paraId="5D0A1326" w14:textId="77777777" w:rsidR="00AF386A" w:rsidRPr="002F2190" w:rsidRDefault="00AF386A" w:rsidP="000A0C78">
            <w:pPr>
              <w:jc w:val="center"/>
              <w:rPr>
                <w:rFonts w:asciiTheme="minorHAnsi" w:hAnsiTheme="minorHAnsi"/>
              </w:rPr>
            </w:pPr>
            <w:r w:rsidRPr="002F2190">
              <w:rPr>
                <w:rFonts w:asciiTheme="minorHAnsi" w:hAnsiTheme="minorHAnsi"/>
                <w:noProof/>
                <w:lang w:val="en-GB" w:eastAsia="en-GB"/>
              </w:rPr>
              <w:drawing>
                <wp:inline distT="0" distB="0" distL="0" distR="0" wp14:anchorId="4148C95A" wp14:editId="206157A4">
                  <wp:extent cx="515340" cy="519047"/>
                  <wp:effectExtent l="19050" t="0" r="0" b="0"/>
                  <wp:docPr id="9" name="Picture 8" descr="Blo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1.png"/>
                          <pic:cNvPicPr/>
                        </pic:nvPicPr>
                        <pic:blipFill>
                          <a:blip r:embed="rId16"/>
                          <a:srcRect r="10800" b="10800"/>
                          <a:stretch>
                            <a:fillRect/>
                          </a:stretch>
                        </pic:blipFill>
                        <pic:spPr>
                          <a:xfrm>
                            <a:off x="0" y="0"/>
                            <a:ext cx="515340" cy="519047"/>
                          </a:xfrm>
                          <a:prstGeom prst="rect">
                            <a:avLst/>
                          </a:prstGeom>
                        </pic:spPr>
                      </pic:pic>
                    </a:graphicData>
                  </a:graphic>
                </wp:inline>
              </w:drawing>
            </w:r>
          </w:p>
        </w:tc>
        <w:tc>
          <w:tcPr>
            <w:tcW w:w="934" w:type="dxa"/>
            <w:tcBorders>
              <w:right w:val="single" w:sz="4" w:space="0" w:color="31808B"/>
            </w:tcBorders>
          </w:tcPr>
          <w:p w14:paraId="668D9183" w14:textId="77777777" w:rsidR="00AF386A" w:rsidRPr="002F2190" w:rsidRDefault="00AF386A" w:rsidP="000A0C78">
            <w:pPr>
              <w:jc w:val="left"/>
              <w:rPr>
                <w:rFonts w:asciiTheme="minorHAnsi" w:hAnsiTheme="minorHAnsi"/>
              </w:rPr>
            </w:pPr>
            <w:r w:rsidRPr="002F2190">
              <w:rPr>
                <w:rFonts w:asciiTheme="minorHAnsi" w:hAnsiTheme="minorHAnsi"/>
                <w:noProof/>
                <w:lang w:val="en-GB" w:eastAsia="en-GB"/>
              </w:rPr>
              <w:drawing>
                <wp:inline distT="0" distB="0" distL="0" distR="0" wp14:anchorId="516BEF2A" wp14:editId="34C30E20">
                  <wp:extent cx="527215" cy="519047"/>
                  <wp:effectExtent l="19050" t="0" r="6185" b="0"/>
                  <wp:docPr id="10" name="Picture 9" descr="Blo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6.png"/>
                          <pic:cNvPicPr/>
                        </pic:nvPicPr>
                        <pic:blipFill>
                          <a:blip r:embed="rId17"/>
                          <a:srcRect r="10800" b="10800"/>
                          <a:stretch>
                            <a:fillRect/>
                          </a:stretch>
                        </pic:blipFill>
                        <pic:spPr>
                          <a:xfrm>
                            <a:off x="0" y="0"/>
                            <a:ext cx="527215" cy="519047"/>
                          </a:xfrm>
                          <a:prstGeom prst="rect">
                            <a:avLst/>
                          </a:prstGeom>
                        </pic:spPr>
                      </pic:pic>
                    </a:graphicData>
                  </a:graphic>
                </wp:inline>
              </w:drawing>
            </w:r>
          </w:p>
        </w:tc>
        <w:tc>
          <w:tcPr>
            <w:tcW w:w="510" w:type="dxa"/>
            <w:tcBorders>
              <w:top w:val="single" w:sz="4" w:space="0" w:color="31808B"/>
              <w:left w:val="single" w:sz="4" w:space="0" w:color="31808B"/>
              <w:bottom w:val="single" w:sz="4" w:space="0" w:color="31808B"/>
              <w:right w:val="nil"/>
            </w:tcBorders>
            <w:vAlign w:val="center"/>
          </w:tcPr>
          <w:p w14:paraId="60144054" w14:textId="77777777" w:rsidR="00AF386A" w:rsidRPr="002F2190" w:rsidRDefault="00AF386A" w:rsidP="000A0C78">
            <w:pPr>
              <w:jc w:val="center"/>
              <w:rPr>
                <w:rFonts w:asciiTheme="minorHAnsi" w:hAnsiTheme="minorHAnsi"/>
              </w:rPr>
            </w:pPr>
            <w:r w:rsidRPr="002F2190">
              <w:rPr>
                <w:rFonts w:asciiTheme="minorHAnsi" w:hAnsiTheme="minorHAnsi"/>
                <w:noProof/>
                <w:lang w:val="en-GB" w:eastAsia="en-GB"/>
              </w:rPr>
              <w:drawing>
                <wp:inline distT="0" distB="0" distL="0" distR="0" wp14:anchorId="3A01C2BC" wp14:editId="7098695B">
                  <wp:extent cx="209550" cy="219899"/>
                  <wp:effectExtent l="0" t="0" r="0" b="8890"/>
                  <wp:docPr id="3"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18" cstate="print"/>
                          <a:stretch>
                            <a:fillRect/>
                          </a:stretch>
                        </pic:blipFill>
                        <pic:spPr>
                          <a:xfrm>
                            <a:off x="0" y="0"/>
                            <a:ext cx="213006" cy="223526"/>
                          </a:xfrm>
                          <a:prstGeom prst="rect">
                            <a:avLst/>
                          </a:prstGeom>
                        </pic:spPr>
                      </pic:pic>
                    </a:graphicData>
                  </a:graphic>
                </wp:inline>
              </w:drawing>
            </w:r>
          </w:p>
        </w:tc>
        <w:tc>
          <w:tcPr>
            <w:tcW w:w="1360" w:type="dxa"/>
            <w:tcBorders>
              <w:top w:val="single" w:sz="4" w:space="0" w:color="31808B"/>
              <w:left w:val="nil"/>
              <w:bottom w:val="single" w:sz="4" w:space="0" w:color="31808B"/>
              <w:right w:val="single" w:sz="4" w:space="0" w:color="31808B"/>
            </w:tcBorders>
            <w:vAlign w:val="center"/>
          </w:tcPr>
          <w:p w14:paraId="03F4CC62" w14:textId="77777777" w:rsidR="00AF386A" w:rsidRPr="002F2190" w:rsidRDefault="00F118DE" w:rsidP="000A0C78">
            <w:pPr>
              <w:jc w:val="center"/>
              <w:rPr>
                <w:rFonts w:asciiTheme="minorHAnsi" w:hAnsiTheme="minorHAnsi"/>
              </w:rPr>
            </w:pPr>
            <w:r>
              <w:rPr>
                <w:rFonts w:asciiTheme="minorHAnsi" w:hAnsiTheme="minorHAnsi" w:cs="Arial"/>
                <w:b/>
                <w:bCs/>
                <w:color w:val="808080" w:themeColor="background1" w:themeShade="80"/>
                <w:sz w:val="34"/>
                <w:szCs w:val="20"/>
              </w:rPr>
              <w:t>Response</w:t>
            </w:r>
          </w:p>
        </w:tc>
        <w:tc>
          <w:tcPr>
            <w:tcW w:w="934" w:type="dxa"/>
            <w:tcBorders>
              <w:left w:val="single" w:sz="4" w:space="0" w:color="31808B"/>
            </w:tcBorders>
          </w:tcPr>
          <w:p w14:paraId="6151745C" w14:textId="77777777" w:rsidR="00AF386A" w:rsidRPr="002F2190" w:rsidRDefault="00AF386A" w:rsidP="000A0C78">
            <w:pPr>
              <w:jc w:val="center"/>
              <w:rPr>
                <w:rFonts w:asciiTheme="minorHAnsi" w:hAnsiTheme="minorHAnsi"/>
              </w:rPr>
            </w:pPr>
            <w:r w:rsidRPr="002F2190">
              <w:rPr>
                <w:rFonts w:asciiTheme="minorHAnsi" w:hAnsiTheme="minorHAnsi"/>
                <w:noProof/>
                <w:lang w:val="en-GB" w:eastAsia="en-GB"/>
              </w:rPr>
              <w:drawing>
                <wp:inline distT="0" distB="0" distL="0" distR="0" wp14:anchorId="220EB7B4" wp14:editId="29AA40BF">
                  <wp:extent cx="504959" cy="518689"/>
                  <wp:effectExtent l="0" t="0" r="3175" b="0"/>
                  <wp:docPr id="11" name="Picture 10" descr="Blo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2.png"/>
                          <pic:cNvPicPr/>
                        </pic:nvPicPr>
                        <pic:blipFill>
                          <a:blip r:embed="rId19"/>
                          <a:srcRect r="10800" b="10800"/>
                          <a:stretch>
                            <a:fillRect/>
                          </a:stretch>
                        </pic:blipFill>
                        <pic:spPr>
                          <a:xfrm>
                            <a:off x="0" y="0"/>
                            <a:ext cx="505307" cy="519047"/>
                          </a:xfrm>
                          <a:prstGeom prst="rect">
                            <a:avLst/>
                          </a:prstGeom>
                        </pic:spPr>
                      </pic:pic>
                    </a:graphicData>
                  </a:graphic>
                </wp:inline>
              </w:drawing>
            </w:r>
          </w:p>
        </w:tc>
        <w:tc>
          <w:tcPr>
            <w:tcW w:w="935" w:type="dxa"/>
          </w:tcPr>
          <w:p w14:paraId="0CE9E66F" w14:textId="77777777" w:rsidR="00AF386A" w:rsidRPr="002F2190" w:rsidRDefault="00AF386A" w:rsidP="000A0C78">
            <w:pPr>
              <w:jc w:val="center"/>
              <w:rPr>
                <w:rFonts w:asciiTheme="minorHAnsi" w:hAnsiTheme="minorHAnsi"/>
              </w:rPr>
            </w:pPr>
            <w:r w:rsidRPr="002F2190">
              <w:rPr>
                <w:rFonts w:asciiTheme="minorHAnsi" w:hAnsiTheme="minorHAnsi"/>
                <w:noProof/>
                <w:lang w:val="en-GB" w:eastAsia="en-GB"/>
              </w:rPr>
              <w:drawing>
                <wp:inline distT="0" distB="0" distL="0" distR="0" wp14:anchorId="03829663" wp14:editId="43D013E1">
                  <wp:extent cx="515340" cy="519047"/>
                  <wp:effectExtent l="19050" t="0" r="0" b="0"/>
                  <wp:docPr id="12" name="Picture 11" descr="Blo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5.png"/>
                          <pic:cNvPicPr/>
                        </pic:nvPicPr>
                        <pic:blipFill>
                          <a:blip r:embed="rId15"/>
                          <a:srcRect r="10800" b="10800"/>
                          <a:stretch>
                            <a:fillRect/>
                          </a:stretch>
                        </pic:blipFill>
                        <pic:spPr>
                          <a:xfrm>
                            <a:off x="0" y="0"/>
                            <a:ext cx="515340" cy="519047"/>
                          </a:xfrm>
                          <a:prstGeom prst="rect">
                            <a:avLst/>
                          </a:prstGeom>
                        </pic:spPr>
                      </pic:pic>
                    </a:graphicData>
                  </a:graphic>
                </wp:inline>
              </w:drawing>
            </w:r>
          </w:p>
        </w:tc>
        <w:tc>
          <w:tcPr>
            <w:tcW w:w="935" w:type="dxa"/>
          </w:tcPr>
          <w:p w14:paraId="0439F137" w14:textId="77777777" w:rsidR="00AF386A" w:rsidRPr="002F2190" w:rsidRDefault="00AF386A" w:rsidP="000A0C78">
            <w:pPr>
              <w:jc w:val="center"/>
              <w:rPr>
                <w:rFonts w:asciiTheme="minorHAnsi" w:hAnsiTheme="minorHAnsi"/>
              </w:rPr>
            </w:pPr>
            <w:r w:rsidRPr="002F2190">
              <w:rPr>
                <w:rFonts w:asciiTheme="minorHAnsi" w:hAnsiTheme="minorHAnsi"/>
                <w:noProof/>
                <w:lang w:val="en-GB" w:eastAsia="en-GB"/>
              </w:rPr>
              <w:drawing>
                <wp:inline distT="0" distB="0" distL="0" distR="0" wp14:anchorId="20977642" wp14:editId="6DA07B72">
                  <wp:extent cx="515339" cy="519047"/>
                  <wp:effectExtent l="19050" t="0" r="0" b="0"/>
                  <wp:docPr id="13" name="Picture 12" descr="Blo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3.png"/>
                          <pic:cNvPicPr/>
                        </pic:nvPicPr>
                        <pic:blipFill>
                          <a:blip r:embed="rId20"/>
                          <a:srcRect r="10800" b="10800"/>
                          <a:stretch>
                            <a:fillRect/>
                          </a:stretch>
                        </pic:blipFill>
                        <pic:spPr>
                          <a:xfrm>
                            <a:off x="0" y="0"/>
                            <a:ext cx="515339" cy="519047"/>
                          </a:xfrm>
                          <a:prstGeom prst="rect">
                            <a:avLst/>
                          </a:prstGeom>
                        </pic:spPr>
                      </pic:pic>
                    </a:graphicData>
                  </a:graphic>
                </wp:inline>
              </w:drawing>
            </w:r>
          </w:p>
        </w:tc>
        <w:tc>
          <w:tcPr>
            <w:tcW w:w="1516" w:type="dxa"/>
          </w:tcPr>
          <w:p w14:paraId="3DE789FF" w14:textId="77777777" w:rsidR="00AF386A" w:rsidRPr="002F2190" w:rsidRDefault="00AF386A" w:rsidP="000A0C78">
            <w:pPr>
              <w:jc w:val="center"/>
              <w:rPr>
                <w:rFonts w:asciiTheme="minorHAnsi" w:hAnsiTheme="minorHAnsi"/>
              </w:rPr>
            </w:pPr>
            <w:r w:rsidRPr="002F2190">
              <w:rPr>
                <w:rFonts w:asciiTheme="minorHAnsi" w:hAnsiTheme="minorHAnsi"/>
                <w:noProof/>
                <w:lang w:val="en-GB" w:eastAsia="en-GB"/>
              </w:rPr>
              <w:drawing>
                <wp:inline distT="0" distB="0" distL="0" distR="0" wp14:anchorId="40ACAA77" wp14:editId="3B14805B">
                  <wp:extent cx="515339" cy="519047"/>
                  <wp:effectExtent l="19050" t="0" r="0" b="0"/>
                  <wp:docPr id="14" name="Picture 13" descr="Blo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6.png"/>
                          <pic:cNvPicPr/>
                        </pic:nvPicPr>
                        <pic:blipFill>
                          <a:blip r:embed="rId17"/>
                          <a:srcRect r="10800" b="10800"/>
                          <a:stretch>
                            <a:fillRect/>
                          </a:stretch>
                        </pic:blipFill>
                        <pic:spPr>
                          <a:xfrm>
                            <a:off x="0" y="0"/>
                            <a:ext cx="515339" cy="519047"/>
                          </a:xfrm>
                          <a:prstGeom prst="rect">
                            <a:avLst/>
                          </a:prstGeom>
                        </pic:spPr>
                      </pic:pic>
                    </a:graphicData>
                  </a:graphic>
                </wp:inline>
              </w:drawing>
            </w:r>
          </w:p>
        </w:tc>
      </w:tr>
    </w:tbl>
    <w:p w14:paraId="18D55B30" w14:textId="4694C28A" w:rsidR="0010436A" w:rsidRPr="0010436A" w:rsidRDefault="0010436A" w:rsidP="00E17C12">
      <w:pPr>
        <w:pStyle w:val="Heading1Agency"/>
        <w:numPr>
          <w:ilvl w:val="0"/>
          <w:numId w:val="0"/>
        </w:numPr>
        <w:rPr>
          <w:color w:val="7F7F7F" w:themeColor="text1" w:themeTint="80"/>
        </w:rPr>
      </w:pPr>
    </w:p>
    <w:tbl>
      <w:tblPr>
        <w:tblW w:w="5417" w:type="pct"/>
        <w:tblInd w:w="-601"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623"/>
        <w:gridCol w:w="8518"/>
      </w:tblGrid>
      <w:tr w:rsidR="00E17C12" w:rsidRPr="0003509D" w14:paraId="3C514D2C" w14:textId="77777777" w:rsidTr="00E17C12">
        <w:trPr>
          <w:tblHeader/>
        </w:trPr>
        <w:tc>
          <w:tcPr>
            <w:tcW w:w="800" w:type="pct"/>
            <w:tcBorders>
              <w:top w:val="nil"/>
              <w:left w:val="nil"/>
              <w:bottom w:val="single" w:sz="6" w:space="0" w:color="FFFFFF"/>
              <w:right w:val="nil"/>
              <w:tl2br w:val="nil"/>
              <w:tr2bl w:val="nil"/>
            </w:tcBorders>
            <w:shd w:val="clear" w:color="auto" w:fill="008080"/>
          </w:tcPr>
          <w:p w14:paraId="4C180DEA" w14:textId="4EB6AB45" w:rsidR="00E17C12" w:rsidRPr="00B4210F" w:rsidRDefault="00E17C12" w:rsidP="001C35BC">
            <w:pPr>
              <w:pStyle w:val="TableheadingrowsAgency"/>
              <w:jc w:val="center"/>
              <w:rPr>
                <w:bCs/>
                <w:color w:val="FFFFFF" w:themeColor="background1"/>
              </w:rPr>
            </w:pPr>
            <w:r>
              <w:rPr>
                <w:bCs/>
                <w:color w:val="FFFFFF" w:themeColor="background1"/>
              </w:rPr>
              <w:t>Inception Impact Assessment Section</w:t>
            </w:r>
          </w:p>
        </w:tc>
        <w:tc>
          <w:tcPr>
            <w:tcW w:w="4200" w:type="pct"/>
            <w:tcBorders>
              <w:top w:val="nil"/>
              <w:left w:val="nil"/>
              <w:bottom w:val="single" w:sz="6" w:space="0" w:color="FFFFFF"/>
              <w:right w:val="nil"/>
              <w:tl2br w:val="nil"/>
              <w:tr2bl w:val="nil"/>
            </w:tcBorders>
            <w:shd w:val="clear" w:color="auto" w:fill="008080"/>
          </w:tcPr>
          <w:p w14:paraId="51DA9CCE" w14:textId="54FC0B20" w:rsidR="00E17C12" w:rsidRPr="00B4210F" w:rsidRDefault="001C35BC" w:rsidP="001C35BC">
            <w:pPr>
              <w:pStyle w:val="TableheadingrowsAgency"/>
              <w:jc w:val="center"/>
              <w:rPr>
                <w:bCs/>
                <w:color w:val="FFFFFF" w:themeColor="background1"/>
              </w:rPr>
            </w:pPr>
            <w:r>
              <w:rPr>
                <w:bCs/>
                <w:color w:val="FFFFFF" w:themeColor="background1"/>
              </w:rPr>
              <w:br/>
            </w:r>
            <w:r>
              <w:rPr>
                <w:bCs/>
                <w:color w:val="FFFFFF" w:themeColor="background1"/>
              </w:rPr>
              <w:br/>
            </w:r>
            <w:r w:rsidR="00E17C12" w:rsidRPr="00930837">
              <w:rPr>
                <w:bCs/>
                <w:color w:val="FFFFFF" w:themeColor="background1"/>
                <w:sz w:val="28"/>
              </w:rPr>
              <w:t>EFPIA Comments</w:t>
            </w:r>
          </w:p>
        </w:tc>
      </w:tr>
      <w:tr w:rsidR="00E17C12" w:rsidRPr="00247D28" w14:paraId="2E1F86E7" w14:textId="77777777" w:rsidTr="00E17C12">
        <w:tc>
          <w:tcPr>
            <w:tcW w:w="800" w:type="pct"/>
            <w:tcBorders>
              <w:top w:val="single" w:sz="6" w:space="0" w:color="FFFFFF"/>
              <w:bottom w:val="single" w:sz="6" w:space="0" w:color="FFFFFF"/>
            </w:tcBorders>
            <w:shd w:val="clear" w:color="auto" w:fill="E1E3F2"/>
          </w:tcPr>
          <w:p w14:paraId="160A6FB2" w14:textId="0EE31823" w:rsidR="00E17C12" w:rsidRDefault="001C35BC" w:rsidP="001C35BC">
            <w:pPr>
              <w:pStyle w:val="TabletextrowsAgency"/>
              <w:jc w:val="center"/>
            </w:pPr>
            <w:r>
              <w:t>Introduction</w:t>
            </w:r>
          </w:p>
        </w:tc>
        <w:tc>
          <w:tcPr>
            <w:tcW w:w="4200" w:type="pct"/>
            <w:tcBorders>
              <w:top w:val="single" w:sz="6" w:space="0" w:color="FFFFFF"/>
              <w:bottom w:val="single" w:sz="6" w:space="0" w:color="FFFFFF"/>
            </w:tcBorders>
            <w:shd w:val="clear" w:color="auto" w:fill="E1E3F2"/>
          </w:tcPr>
          <w:p w14:paraId="34DB573C" w14:textId="2BC9FF50" w:rsidR="00E17C12" w:rsidRDefault="00E17C12" w:rsidP="00351ABB">
            <w:pPr>
              <w:pStyle w:val="TabletextrowsAgency"/>
            </w:pPr>
            <w:r w:rsidRPr="00EB3761">
              <w:t xml:space="preserve">EFPIA welcomes the opportunity to offer comment on the </w:t>
            </w:r>
            <w:r w:rsidR="007E1791">
              <w:t>EU Commission’s Inception Impact Assessment</w:t>
            </w:r>
            <w:r w:rsidRPr="00EB3761">
              <w:t xml:space="preserve"> (hereafter </w:t>
            </w:r>
            <w:r w:rsidR="00311278">
              <w:t>referenced as IIA</w:t>
            </w:r>
            <w:r w:rsidR="00E728DF">
              <w:rPr>
                <w:rStyle w:val="FootnoteReference"/>
              </w:rPr>
              <w:footnoteReference w:id="1"/>
            </w:r>
            <w:r w:rsidRPr="00EB3761">
              <w:t xml:space="preserve">). Within these comments, EFPIA </w:t>
            </w:r>
            <w:r w:rsidR="00311278">
              <w:t xml:space="preserve">provides preliminary input from the </w:t>
            </w:r>
            <w:r w:rsidR="008479A5">
              <w:t>point of view of the</w:t>
            </w:r>
            <w:r w:rsidRPr="00EB3761">
              <w:t xml:space="preserve"> innovative pharmaceutical industry</w:t>
            </w:r>
            <w:r w:rsidR="00764584">
              <w:t xml:space="preserve"> in order to</w:t>
            </w:r>
            <w:r w:rsidR="005B67EA">
              <w:t xml:space="preserve"> have the most positive impact </w:t>
            </w:r>
            <w:r w:rsidR="005636C5">
              <w:t>on the continued development and regulation of human medicines</w:t>
            </w:r>
            <w:r w:rsidR="00EA7983">
              <w:rPr>
                <w:rStyle w:val="FootnoteReference"/>
              </w:rPr>
              <w:footnoteReference w:id="2"/>
            </w:r>
            <w:r w:rsidR="008479A5">
              <w:t>.</w:t>
            </w:r>
            <w:r w:rsidR="005636C5">
              <w:t xml:space="preserve"> </w:t>
            </w:r>
            <w:r w:rsidRPr="00EB3761">
              <w:t xml:space="preserve">EFPIA represents 40 research-intensive pharmaceutical companies committed to researching, developing and bringing new </w:t>
            </w:r>
            <w:r w:rsidR="00FD16E9">
              <w:t xml:space="preserve">innovative </w:t>
            </w:r>
            <w:r w:rsidRPr="00EB3761">
              <w:t>medicines to patients</w:t>
            </w:r>
            <w:r w:rsidR="00FD16E9">
              <w:t xml:space="preserve"> in order</w:t>
            </w:r>
            <w:r w:rsidRPr="00EB3761">
              <w:t xml:space="preserve"> to improve patients’ health and quality of life. EFPIA also includes direct membership of 36 national associations.</w:t>
            </w:r>
          </w:p>
          <w:p w14:paraId="05D00727" w14:textId="77777777" w:rsidR="00E17C12" w:rsidRDefault="00E17C12" w:rsidP="00351ABB">
            <w:pPr>
              <w:pStyle w:val="TabletextrowsAgency"/>
            </w:pPr>
          </w:p>
          <w:p w14:paraId="40367D6A" w14:textId="750B7FAD" w:rsidR="00E17C12" w:rsidRDefault="0062606F" w:rsidP="00351ABB">
            <w:pPr>
              <w:pStyle w:val="TabletextrowsAgency"/>
            </w:pPr>
            <w:r>
              <w:t xml:space="preserve">EFPIA’s comments </w:t>
            </w:r>
            <w:r w:rsidR="003958A0">
              <w:t>summarise</w:t>
            </w:r>
            <w:r w:rsidR="003A6757">
              <w:t xml:space="preserve"> </w:t>
            </w:r>
            <w:r w:rsidR="00674853">
              <w:t>fundamental</w:t>
            </w:r>
            <w:r w:rsidR="003A6757">
              <w:t xml:space="preserve"> principles </w:t>
            </w:r>
            <w:r w:rsidR="00AA351D">
              <w:t>for</w:t>
            </w:r>
            <w:r w:rsidR="00AD6A20">
              <w:t xml:space="preserve"> an ideal, fit-for-purpose EU fee system, </w:t>
            </w:r>
            <w:r w:rsidR="0051009D">
              <w:t xml:space="preserve">describe the </w:t>
            </w:r>
            <w:r w:rsidR="00B44F96">
              <w:t xml:space="preserve">challenges innate to the current fees </w:t>
            </w:r>
            <w:r w:rsidR="00AD6A20">
              <w:t>approaches</w:t>
            </w:r>
            <w:r w:rsidR="00B44F96">
              <w:t xml:space="preserve">, identify potential solutions to alleviate these issues, </w:t>
            </w:r>
            <w:r w:rsidR="003A5CF7">
              <w:t xml:space="preserve">and </w:t>
            </w:r>
            <w:r w:rsidR="006444EF">
              <w:t xml:space="preserve">offer </w:t>
            </w:r>
            <w:r w:rsidR="003A5CF7">
              <w:t>preliminary assessment</w:t>
            </w:r>
            <w:r w:rsidR="006444EF">
              <w:t xml:space="preserve"> </w:t>
            </w:r>
            <w:r w:rsidR="00AA351D">
              <w:t>of</w:t>
            </w:r>
            <w:r w:rsidR="006444EF">
              <w:t xml:space="preserve"> the Commission’s proposed options</w:t>
            </w:r>
            <w:r w:rsidR="00C4528B">
              <w:t>.</w:t>
            </w:r>
            <w:r w:rsidR="003429F6">
              <w:t xml:space="preserve"> </w:t>
            </w:r>
            <w:r w:rsidR="00AA351D">
              <w:t>Unquestionably</w:t>
            </w:r>
            <w:r w:rsidR="003429F6">
              <w:t>, EFPIA considers that a</w:t>
            </w:r>
            <w:r w:rsidR="003429F6" w:rsidRPr="003429F6">
              <w:t>dequate and appropriate funding of European Medicines Agency (EMA) and National Competent Authorities (NCAs) is essential to support the effective operation of the European Medicines Regulatory Network and to ensure public health. As such, EFPIA welcomes the ongoing evaluation of the current EMA fees system</w:t>
            </w:r>
            <w:r w:rsidR="00CC079A">
              <w:t xml:space="preserve"> and offers </w:t>
            </w:r>
            <w:r w:rsidR="001E723F">
              <w:t>these</w:t>
            </w:r>
            <w:r w:rsidR="00CC079A">
              <w:t xml:space="preserve"> comments as support for the Commission’s IIA and overall </w:t>
            </w:r>
            <w:r w:rsidR="00831A9C">
              <w:t xml:space="preserve">fee </w:t>
            </w:r>
            <w:r w:rsidR="00764584">
              <w:t xml:space="preserve">review </w:t>
            </w:r>
            <w:r w:rsidR="00831A9C">
              <w:t>activities</w:t>
            </w:r>
            <w:r w:rsidR="00CC079A">
              <w:t>.</w:t>
            </w:r>
            <w:r w:rsidR="007371AF">
              <w:t xml:space="preserve"> </w:t>
            </w:r>
            <w:r w:rsidR="00061BD7">
              <w:t xml:space="preserve">Along with </w:t>
            </w:r>
            <w:r w:rsidR="009C168B">
              <w:t xml:space="preserve">the </w:t>
            </w:r>
            <w:r w:rsidR="00061BD7">
              <w:t>comments</w:t>
            </w:r>
            <w:r w:rsidR="009C168B">
              <w:t xml:space="preserve"> offered here</w:t>
            </w:r>
            <w:r w:rsidR="00061BD7">
              <w:t xml:space="preserve"> in response to the </w:t>
            </w:r>
            <w:r w:rsidR="00061BD7">
              <w:lastRenderedPageBreak/>
              <w:t xml:space="preserve">Commission’s </w:t>
            </w:r>
            <w:r w:rsidR="009C168B">
              <w:t xml:space="preserve">public consultation request, EFPIA </w:t>
            </w:r>
            <w:r w:rsidR="00653962">
              <w:t xml:space="preserve">is also pleased to share </w:t>
            </w:r>
            <w:r w:rsidR="00A126F2">
              <w:t xml:space="preserve">our full </w:t>
            </w:r>
            <w:r w:rsidR="00A126F2" w:rsidRPr="00A126F2">
              <w:t>Position Paper on EMA Fees</w:t>
            </w:r>
            <w:r w:rsidR="00A126F2">
              <w:t xml:space="preserve"> as an attachment. </w:t>
            </w:r>
          </w:p>
          <w:p w14:paraId="296BC9EB" w14:textId="4481BCD8" w:rsidR="00C3417E" w:rsidRPr="00247D28" w:rsidRDefault="00C3417E" w:rsidP="00351ABB">
            <w:pPr>
              <w:pStyle w:val="TabletextrowsAgency"/>
            </w:pPr>
          </w:p>
        </w:tc>
      </w:tr>
      <w:tr w:rsidR="00E17C12" w:rsidRPr="00247D28" w14:paraId="0F70D5F1" w14:textId="77777777" w:rsidTr="00E17C12">
        <w:tc>
          <w:tcPr>
            <w:tcW w:w="800" w:type="pct"/>
            <w:tcBorders>
              <w:top w:val="single" w:sz="6" w:space="0" w:color="FFFFFF"/>
              <w:bottom w:val="single" w:sz="6" w:space="0" w:color="FFFFFF"/>
            </w:tcBorders>
            <w:shd w:val="clear" w:color="auto" w:fill="E1E3F2"/>
          </w:tcPr>
          <w:p w14:paraId="7825ED09" w14:textId="1BDF0079" w:rsidR="00E17C12" w:rsidRPr="00247D28" w:rsidRDefault="006E6446" w:rsidP="006E6446">
            <w:pPr>
              <w:pStyle w:val="TabletextrowsAgency"/>
              <w:jc w:val="center"/>
            </w:pPr>
            <w:r w:rsidRPr="006E6446">
              <w:lastRenderedPageBreak/>
              <w:t>A. Context, Problem definition and Subsidiarity Check</w:t>
            </w:r>
          </w:p>
        </w:tc>
        <w:tc>
          <w:tcPr>
            <w:tcW w:w="4200" w:type="pct"/>
            <w:tcBorders>
              <w:top w:val="single" w:sz="6" w:space="0" w:color="FFFFFF"/>
              <w:bottom w:val="single" w:sz="6" w:space="0" w:color="FFFFFF"/>
            </w:tcBorders>
            <w:shd w:val="clear" w:color="auto" w:fill="E1E3F2"/>
          </w:tcPr>
          <w:p w14:paraId="0D75FF98" w14:textId="2A6B973B" w:rsidR="00E17C12" w:rsidRPr="0011097A" w:rsidRDefault="00FC5334" w:rsidP="0011097A">
            <w:pPr>
              <w:pStyle w:val="TabletextrowsAgency"/>
            </w:pPr>
            <w:r w:rsidRPr="0011097A">
              <w:t>T</w:t>
            </w:r>
            <w:r w:rsidR="009036C4" w:rsidRPr="0011097A">
              <w:t xml:space="preserve">he </w:t>
            </w:r>
            <w:r w:rsidRPr="0011097A">
              <w:t xml:space="preserve">EMA </w:t>
            </w:r>
            <w:r w:rsidR="00332FD4" w:rsidRPr="0011097A">
              <w:t xml:space="preserve">Founding and Fee </w:t>
            </w:r>
            <w:r w:rsidRPr="0011097A">
              <w:t>Regulations</w:t>
            </w:r>
            <w:r w:rsidR="006A4947" w:rsidRPr="0011097A">
              <w:rPr>
                <w:rStyle w:val="FootnoteReference"/>
              </w:rPr>
              <w:footnoteReference w:id="3"/>
            </w:r>
            <w:r w:rsidRPr="0011097A">
              <w:t xml:space="preserve"> noted </w:t>
            </w:r>
            <w:r w:rsidR="001656EA" w:rsidRPr="0011097A">
              <w:t>a</w:t>
            </w:r>
            <w:r w:rsidR="00574585" w:rsidRPr="0011097A">
              <w:t xml:space="preserve"> </w:t>
            </w:r>
            <w:r w:rsidR="008D59C2" w:rsidRPr="0011097A">
              <w:t>foundational</w:t>
            </w:r>
            <w:r w:rsidR="00574585" w:rsidRPr="0011097A">
              <w:t xml:space="preserve"> intent </w:t>
            </w:r>
            <w:r w:rsidRPr="0011097A">
              <w:t>for</w:t>
            </w:r>
            <w:r w:rsidR="00574585" w:rsidRPr="0011097A">
              <w:t xml:space="preserve"> the EU </w:t>
            </w:r>
            <w:r w:rsidR="00ED4660" w:rsidRPr="0011097A">
              <w:t xml:space="preserve">fee </w:t>
            </w:r>
            <w:r w:rsidR="00D77094" w:rsidRPr="0011097A">
              <w:t xml:space="preserve">system that </w:t>
            </w:r>
            <w:r w:rsidR="00E17C12" w:rsidRPr="0011097A">
              <w:t>“the structure of the fees should be as simple as possible to apply in order to minimise the related administrative burden”</w:t>
            </w:r>
            <w:r w:rsidR="006A4947" w:rsidRPr="0011097A">
              <w:t>.</w:t>
            </w:r>
            <w:r w:rsidR="00E17C12" w:rsidRPr="0011097A">
              <w:t xml:space="preserve"> </w:t>
            </w:r>
            <w:r w:rsidR="00ED4660" w:rsidRPr="0011097A">
              <w:t xml:space="preserve">EFPIA considers that the fee system has become </w:t>
            </w:r>
            <w:r w:rsidR="00153CCF" w:rsidRPr="0011097A">
              <w:t>increasingly comp</w:t>
            </w:r>
            <w:r w:rsidR="00002F69">
              <w:t>lex</w:t>
            </w:r>
            <w:r w:rsidR="00153CCF" w:rsidRPr="0011097A">
              <w:t xml:space="preserve"> </w:t>
            </w:r>
            <w:r w:rsidR="00CA00DC" w:rsidRPr="0011097A">
              <w:t>over</w:t>
            </w:r>
            <w:r w:rsidR="00153CCF" w:rsidRPr="0011097A">
              <w:t xml:space="preserve"> the years</w:t>
            </w:r>
            <w:r w:rsidR="0011612B">
              <w:t xml:space="preserve"> </w:t>
            </w:r>
            <w:r w:rsidR="0011612B" w:rsidRPr="0011612B">
              <w:t>since its introduction</w:t>
            </w:r>
            <w:r w:rsidR="00153CCF" w:rsidRPr="0011097A">
              <w:t>.</w:t>
            </w:r>
            <w:r w:rsidR="00CA00DC" w:rsidRPr="0011097A">
              <w:t xml:space="preserve"> </w:t>
            </w:r>
            <w:r w:rsidR="00EF4F81" w:rsidRPr="0011097A">
              <w:t>A</w:t>
            </w:r>
            <w:r w:rsidR="00CA00DC" w:rsidRPr="0011097A">
              <w:t xml:space="preserve">n unintended consequence of the way in which fees are charged </w:t>
            </w:r>
            <w:r w:rsidR="00DD6D52">
              <w:t>is that</w:t>
            </w:r>
            <w:r w:rsidR="00CA00DC" w:rsidRPr="0011097A">
              <w:t xml:space="preserve"> significant levels of resource </w:t>
            </w:r>
            <w:r w:rsidR="006302D5">
              <w:t xml:space="preserve">are </w:t>
            </w:r>
            <w:r w:rsidR="00CA00DC" w:rsidRPr="0011097A">
              <w:t>being diverted to process and invoice the simplest administrative submissions, resource that could be better utilised by all stakeholders to advance innovation and patient health.</w:t>
            </w:r>
          </w:p>
          <w:p w14:paraId="3060A472" w14:textId="77777777" w:rsidR="00987C05" w:rsidRPr="0011097A" w:rsidRDefault="00987C05" w:rsidP="0011097A">
            <w:pPr>
              <w:pStyle w:val="TabletextrowsAgency"/>
            </w:pPr>
          </w:p>
          <w:p w14:paraId="75EE1090" w14:textId="77777777" w:rsidR="006447AE" w:rsidRDefault="006F1F0C" w:rsidP="0011097A">
            <w:pPr>
              <w:pStyle w:val="TabletextrowsAgency"/>
            </w:pPr>
            <w:r w:rsidRPr="0011097A">
              <w:t xml:space="preserve">EFPIA believes that </w:t>
            </w:r>
            <w:r w:rsidR="00A957AC" w:rsidRPr="0011097A">
              <w:t xml:space="preserve">efficiency </w:t>
            </w:r>
            <w:r w:rsidRPr="0011097A">
              <w:t xml:space="preserve">improvements </w:t>
            </w:r>
            <w:r w:rsidR="00414748" w:rsidRPr="0011097A">
              <w:t xml:space="preserve">instituted to simplify the fee system would have a </w:t>
            </w:r>
            <w:r w:rsidR="006842A0" w:rsidRPr="0011097A">
              <w:t>substantial positive</w:t>
            </w:r>
            <w:r w:rsidR="00414748" w:rsidRPr="0011097A">
              <w:t xml:space="preserve"> effect on EMA</w:t>
            </w:r>
            <w:r w:rsidR="008E1425" w:rsidRPr="008E1425">
              <w:t xml:space="preserve">, and on those paying fees, </w:t>
            </w:r>
            <w:r w:rsidR="006B3A79" w:rsidRPr="0011097A">
              <w:t xml:space="preserve">given the </w:t>
            </w:r>
            <w:r w:rsidR="00575DCB" w:rsidRPr="0011097A">
              <w:t>scale</w:t>
            </w:r>
            <w:r w:rsidR="006B3A79" w:rsidRPr="0011097A">
              <w:t xml:space="preserve"> of its total budget </w:t>
            </w:r>
            <w:r w:rsidR="00575DCB" w:rsidRPr="0011097A">
              <w:t>(i.e., €337.8 million</w:t>
            </w:r>
            <w:r w:rsidR="00575DCB" w:rsidRPr="0011097A">
              <w:rPr>
                <w:vertAlign w:val="superscript"/>
              </w:rPr>
              <w:t>1</w:t>
            </w:r>
            <w:r w:rsidR="00575DCB" w:rsidRPr="0011097A">
              <w:t>)</w:t>
            </w:r>
            <w:r w:rsidR="00EA4B07" w:rsidRPr="0011097A">
              <w:t>, which account</w:t>
            </w:r>
            <w:r w:rsidR="000475A9">
              <w:t>s</w:t>
            </w:r>
            <w:r w:rsidR="00EA4B07" w:rsidRPr="0011097A">
              <w:t xml:space="preserve"> for a</w:t>
            </w:r>
            <w:r w:rsidR="00E17C12" w:rsidRPr="0011097A">
              <w:t>round 90</w:t>
            </w:r>
            <w:r w:rsidR="00AB56D1" w:rsidRPr="0011097A">
              <w:t>% of the Agency’s budget</w:t>
            </w:r>
            <w:r w:rsidR="00AB56D1" w:rsidRPr="0011097A">
              <w:rPr>
                <w:vertAlign w:val="superscript"/>
              </w:rPr>
              <w:t>1</w:t>
            </w:r>
            <w:r w:rsidR="00AB56D1" w:rsidRPr="0011097A">
              <w:t>.</w:t>
            </w:r>
            <w:r w:rsidR="00E17C12" w:rsidRPr="0011097A">
              <w:t xml:space="preserve"> </w:t>
            </w:r>
          </w:p>
          <w:p w14:paraId="5E2A1E53" w14:textId="77777777" w:rsidR="006447AE" w:rsidRDefault="006447AE" w:rsidP="0011097A">
            <w:pPr>
              <w:pStyle w:val="TabletextrowsAgency"/>
            </w:pPr>
          </w:p>
          <w:p w14:paraId="2A017999" w14:textId="5EB550BA" w:rsidR="000525D7" w:rsidRPr="0011097A" w:rsidRDefault="004620FD" w:rsidP="0011097A">
            <w:pPr>
              <w:pStyle w:val="TabletextrowsAgency"/>
            </w:pPr>
            <w:r w:rsidRPr="0011097A">
              <w:t>One of</w:t>
            </w:r>
            <w:r w:rsidR="005825C7" w:rsidRPr="0011097A">
              <w:t xml:space="preserve"> </w:t>
            </w:r>
            <w:r w:rsidRPr="0011097A">
              <w:t xml:space="preserve">the reasons that the Commission </w:t>
            </w:r>
            <w:r w:rsidR="005E2960">
              <w:t>gives for</w:t>
            </w:r>
            <w:r w:rsidRPr="0011097A">
              <w:t xml:space="preserve"> necessitating </w:t>
            </w:r>
            <w:r w:rsidR="00EF7FC5">
              <w:t xml:space="preserve">a </w:t>
            </w:r>
            <w:r w:rsidRPr="0011097A">
              <w:t>fee change</w:t>
            </w:r>
            <w:r w:rsidR="007C7B95" w:rsidRPr="0011097A">
              <w:t xml:space="preserve"> is to “</w:t>
            </w:r>
            <w:r w:rsidR="00D47870" w:rsidRPr="0011097A">
              <w:t>address changes to the rules applicable to the authorisation of veterinary medicinal products</w:t>
            </w:r>
            <w:r w:rsidR="007C7B95" w:rsidRPr="0011097A">
              <w:t>”</w:t>
            </w:r>
            <w:r w:rsidR="007C7B95" w:rsidRPr="0011097A">
              <w:rPr>
                <w:vertAlign w:val="superscript"/>
              </w:rPr>
              <w:t>1</w:t>
            </w:r>
            <w:r w:rsidR="007C7B95" w:rsidRPr="0011097A">
              <w:t xml:space="preserve">. </w:t>
            </w:r>
            <w:r w:rsidR="0045161F" w:rsidRPr="0011097A">
              <w:t xml:space="preserve">EFPIA considers that </w:t>
            </w:r>
            <w:r w:rsidR="00EF7FC5">
              <w:t xml:space="preserve">any </w:t>
            </w:r>
            <w:r w:rsidR="0045161F" w:rsidRPr="0011097A">
              <w:t xml:space="preserve">changes instituted in the near-term </w:t>
            </w:r>
            <w:r w:rsidR="0026266A" w:rsidRPr="0011097A">
              <w:t xml:space="preserve">within the Fees Regulation </w:t>
            </w:r>
            <w:r w:rsidR="0045161F" w:rsidRPr="0011097A">
              <w:t xml:space="preserve">to </w:t>
            </w:r>
            <w:r w:rsidR="00CD5998" w:rsidRPr="0011097A">
              <w:t>improve the fee</w:t>
            </w:r>
            <w:r w:rsidR="00987AAA" w:rsidRPr="0011097A">
              <w:t xml:space="preserve"> system</w:t>
            </w:r>
            <w:r w:rsidR="00CD5998" w:rsidRPr="0011097A">
              <w:t xml:space="preserve"> for human medicines should </w:t>
            </w:r>
            <w:r w:rsidR="004F0419" w:rsidRPr="0011097A">
              <w:t>predict</w:t>
            </w:r>
            <w:r w:rsidR="00CF513C" w:rsidRPr="0011097A">
              <w:t>,</w:t>
            </w:r>
            <w:r w:rsidR="00987AAA" w:rsidRPr="0011097A">
              <w:t xml:space="preserve"> and </w:t>
            </w:r>
            <w:r w:rsidR="00366243" w:rsidRPr="0011097A">
              <w:t>be flexible enough to accommodate</w:t>
            </w:r>
            <w:r w:rsidR="00CF513C" w:rsidRPr="0011097A">
              <w:t>,</w:t>
            </w:r>
            <w:r w:rsidR="00366243" w:rsidRPr="0011097A">
              <w:t xml:space="preserve"> future advances in medicine development</w:t>
            </w:r>
            <w:r w:rsidR="00CF513C" w:rsidRPr="0011097A">
              <w:t xml:space="preserve"> and </w:t>
            </w:r>
            <w:r w:rsidR="0026266A" w:rsidRPr="0011097A">
              <w:t xml:space="preserve">subsequent adjustments to the Regulations. </w:t>
            </w:r>
          </w:p>
          <w:p w14:paraId="2F6151D5" w14:textId="6212AC70" w:rsidR="0026266A" w:rsidRPr="0011097A" w:rsidRDefault="0026266A" w:rsidP="0011097A">
            <w:pPr>
              <w:pStyle w:val="TabletextrowsAgency"/>
            </w:pPr>
          </w:p>
          <w:p w14:paraId="016E3D67" w14:textId="3BFFAC2D" w:rsidR="0026266A" w:rsidRPr="0011097A" w:rsidRDefault="00B02C04" w:rsidP="0011097A">
            <w:pPr>
              <w:pStyle w:val="TabletextrowsAgency"/>
            </w:pPr>
            <w:r w:rsidRPr="0011097A">
              <w:t xml:space="preserve">Within the IIA, the Commission </w:t>
            </w:r>
            <w:r w:rsidR="000647BE" w:rsidRPr="0011097A">
              <w:t>describes</w:t>
            </w:r>
            <w:r w:rsidR="00494F9A" w:rsidRPr="0011097A">
              <w:t xml:space="preserve"> “weaknesses identified by the recent evaluation of the EMA fee system”</w:t>
            </w:r>
            <w:r w:rsidR="00955AC2" w:rsidRPr="0011097A">
              <w:rPr>
                <w:vertAlign w:val="superscript"/>
              </w:rPr>
              <w:t>1</w:t>
            </w:r>
            <w:r w:rsidR="002D06BF" w:rsidRPr="0011097A">
              <w:rPr>
                <w:vertAlign w:val="superscript"/>
              </w:rPr>
              <w:t xml:space="preserve"> </w:t>
            </w:r>
            <w:r w:rsidR="001029F6" w:rsidRPr="0011097A">
              <w:t xml:space="preserve">in terms of </w:t>
            </w:r>
            <w:r w:rsidR="004011A1" w:rsidRPr="0011097A">
              <w:t xml:space="preserve">its administration </w:t>
            </w:r>
            <w:r w:rsidR="001029F6" w:rsidRPr="0011097A">
              <w:t>as well as</w:t>
            </w:r>
            <w:r w:rsidR="004011A1" w:rsidRPr="0011097A">
              <w:t xml:space="preserve"> </w:t>
            </w:r>
            <w:r w:rsidR="002D06BF" w:rsidRPr="0011097A">
              <w:t xml:space="preserve">remuneration </w:t>
            </w:r>
            <w:r w:rsidR="00433E97">
              <w:t xml:space="preserve">levels </w:t>
            </w:r>
            <w:r w:rsidR="00516DF0" w:rsidRPr="0011097A">
              <w:t xml:space="preserve">for activities between the EMA and </w:t>
            </w:r>
            <w:r w:rsidR="002D06BF" w:rsidRPr="0011097A">
              <w:t>NCAs</w:t>
            </w:r>
            <w:r w:rsidR="00516DF0" w:rsidRPr="0011097A">
              <w:t>.</w:t>
            </w:r>
            <w:r w:rsidR="004011A1" w:rsidRPr="0011097A">
              <w:t xml:space="preserve"> EFPIA’s </w:t>
            </w:r>
            <w:r w:rsidR="00B0680E" w:rsidRPr="0011097A">
              <w:t xml:space="preserve">agree with the Commissions IIA conclusions: </w:t>
            </w:r>
            <w:r w:rsidR="00A0208D" w:rsidRPr="0011097A">
              <w:t>“</w:t>
            </w:r>
            <w:r w:rsidR="006B1E25" w:rsidRPr="0011097A">
              <w:t>(</w:t>
            </w:r>
            <w:r w:rsidR="00A0208D" w:rsidRPr="0011097A">
              <w:t xml:space="preserve">i) </w:t>
            </w:r>
            <w:r w:rsidR="006B1E25" w:rsidRPr="0011097A">
              <w:t>The fee system is complex due to many different categories and types of fees and therefore difficult to apply and not easily predictable.</w:t>
            </w:r>
            <w:r w:rsidR="00A0208D" w:rsidRPr="0011097A">
              <w:t xml:space="preserve"> (ii) </w:t>
            </w:r>
            <w:r w:rsidR="0095175F" w:rsidRPr="0011097A">
              <w:t>There is possible misalignment of some fees with the underlying costs.”</w:t>
            </w:r>
            <w:r w:rsidR="0095175F" w:rsidRPr="0011097A">
              <w:rPr>
                <w:vertAlign w:val="superscript"/>
              </w:rPr>
              <w:t>1</w:t>
            </w:r>
          </w:p>
          <w:p w14:paraId="65471C74" w14:textId="77777777" w:rsidR="007C7B95" w:rsidRPr="0011097A" w:rsidRDefault="007C7B95" w:rsidP="0011097A">
            <w:pPr>
              <w:pStyle w:val="TabletextrowsAgency"/>
            </w:pPr>
          </w:p>
          <w:p w14:paraId="5F461C4B" w14:textId="77777777" w:rsidR="00204718" w:rsidRPr="0011097A" w:rsidRDefault="00204718" w:rsidP="00A77BF5">
            <w:pPr>
              <w:pStyle w:val="TabletextrowsAgency"/>
            </w:pPr>
            <w:r w:rsidRPr="0011097A">
              <w:t xml:space="preserve">As described in more detail in </w:t>
            </w:r>
            <w:r w:rsidR="00154363" w:rsidRPr="0011097A">
              <w:t>the attached</w:t>
            </w:r>
            <w:r w:rsidRPr="0011097A">
              <w:t xml:space="preserve"> full Position Paper on EMA Fees</w:t>
            </w:r>
            <w:r w:rsidR="00154363" w:rsidRPr="0011097A">
              <w:t xml:space="preserve">, EFPIA </w:t>
            </w:r>
            <w:r w:rsidR="00130CCC" w:rsidRPr="0011097A">
              <w:t>believes that fee system changes should adhere to the following principles:</w:t>
            </w:r>
            <w:r w:rsidR="00130CCC" w:rsidRPr="0011097A">
              <w:br/>
            </w:r>
          </w:p>
          <w:p w14:paraId="35D2A076" w14:textId="77777777" w:rsidR="00C210FF" w:rsidRPr="0011097A" w:rsidRDefault="00C210FF" w:rsidP="00A77BF5">
            <w:pPr>
              <w:pStyle w:val="ListParagraph"/>
              <w:numPr>
                <w:ilvl w:val="0"/>
                <w:numId w:val="33"/>
              </w:numPr>
              <w:tabs>
                <w:tab w:val="left" w:pos="3969"/>
              </w:tabs>
              <w:autoSpaceDE w:val="0"/>
              <w:autoSpaceDN w:val="0"/>
              <w:adjustRightInd w:val="0"/>
              <w:spacing w:after="120" w:line="280" w:lineRule="exact"/>
              <w:ind w:left="714" w:hanging="357"/>
              <w:contextualSpacing w:val="0"/>
              <w:jc w:val="left"/>
              <w:rPr>
                <w:rFonts w:ascii="Verdana" w:hAnsi="Verdana" w:cstheme="minorHAnsi"/>
                <w:sz w:val="18"/>
                <w:szCs w:val="18"/>
              </w:rPr>
            </w:pPr>
            <w:r w:rsidRPr="0011097A">
              <w:rPr>
                <w:rFonts w:ascii="Verdana" w:hAnsi="Verdana" w:cstheme="minorHAnsi"/>
                <w:b/>
                <w:sz w:val="18"/>
                <w:szCs w:val="18"/>
              </w:rPr>
              <w:t>Transparency</w:t>
            </w:r>
            <w:r w:rsidRPr="0011097A">
              <w:rPr>
                <w:rFonts w:ascii="Verdana" w:hAnsi="Verdana" w:cstheme="minorHAnsi"/>
                <w:sz w:val="18"/>
                <w:szCs w:val="18"/>
              </w:rPr>
              <w:t xml:space="preserve">: Changes to the fee structure should be based on a </w:t>
            </w:r>
            <w:r w:rsidRPr="0011097A">
              <w:rPr>
                <w:rFonts w:ascii="Verdana" w:hAnsi="Verdana" w:cstheme="minorHAnsi"/>
                <w:color w:val="222222"/>
                <w:sz w:val="18"/>
                <w:szCs w:val="18"/>
              </w:rPr>
              <w:t xml:space="preserve">comprehensive, </w:t>
            </w:r>
            <w:r w:rsidRPr="0011097A">
              <w:rPr>
                <w:rFonts w:ascii="Verdana" w:hAnsi="Verdana" w:cstheme="minorHAnsi"/>
                <w:sz w:val="18"/>
                <w:szCs w:val="18"/>
              </w:rPr>
              <w:t>transparent and independent evaluation of the underlying costs of the services provided, projections of future developments and strengths and weaknesses of the current system.</w:t>
            </w:r>
          </w:p>
          <w:p w14:paraId="6C62A6D5" w14:textId="77777777" w:rsidR="00C210FF" w:rsidRPr="0011097A" w:rsidRDefault="00C210FF" w:rsidP="00A77BF5">
            <w:pPr>
              <w:pStyle w:val="ListParagraph"/>
              <w:numPr>
                <w:ilvl w:val="0"/>
                <w:numId w:val="32"/>
              </w:numPr>
              <w:autoSpaceDE w:val="0"/>
              <w:autoSpaceDN w:val="0"/>
              <w:adjustRightInd w:val="0"/>
              <w:spacing w:after="120" w:line="280" w:lineRule="exact"/>
              <w:ind w:left="714" w:hanging="357"/>
              <w:contextualSpacing w:val="0"/>
              <w:jc w:val="left"/>
              <w:rPr>
                <w:rFonts w:ascii="Verdana" w:hAnsi="Verdana" w:cstheme="minorHAnsi"/>
                <w:sz w:val="18"/>
                <w:szCs w:val="18"/>
              </w:rPr>
            </w:pPr>
            <w:r w:rsidRPr="0011097A">
              <w:rPr>
                <w:rFonts w:ascii="Verdana" w:hAnsi="Verdana" w:cstheme="minorHAnsi"/>
                <w:b/>
                <w:sz w:val="18"/>
                <w:szCs w:val="18"/>
              </w:rPr>
              <w:lastRenderedPageBreak/>
              <w:t>Fairness &amp; proportionality</w:t>
            </w:r>
            <w:r w:rsidRPr="0011097A">
              <w:rPr>
                <w:rFonts w:ascii="Verdana" w:hAnsi="Verdana" w:cstheme="minorHAnsi"/>
                <w:sz w:val="18"/>
                <w:szCs w:val="18"/>
              </w:rPr>
              <w:t xml:space="preserve">: </w:t>
            </w:r>
            <w:r w:rsidRPr="0011097A">
              <w:rPr>
                <w:rFonts w:ascii="Verdana" w:hAnsi="Verdana" w:cstheme="minorHAnsi"/>
                <w:color w:val="222222"/>
                <w:sz w:val="18"/>
                <w:szCs w:val="18"/>
              </w:rPr>
              <w:t xml:space="preserve"> Fees must correspond to the service actually provided and should be fair and </w:t>
            </w:r>
            <w:r w:rsidRPr="0011097A">
              <w:rPr>
                <w:rFonts w:ascii="Verdana" w:hAnsi="Verdana" w:cstheme="minorHAnsi"/>
                <w:sz w:val="18"/>
                <w:szCs w:val="18"/>
              </w:rPr>
              <w:t>proportionate for all actors involved. While it is accepted that the majority of the EMA budget will continue to be derived from fees payable by Industry, some activities conducted by the Agency are part of its general mission to ensure public health and should therefore remain partly covered by the Community</w:t>
            </w:r>
            <w:r w:rsidRPr="0011097A">
              <w:rPr>
                <w:rFonts w:ascii="Verdana" w:hAnsi="Verdana" w:cstheme="minorHAnsi"/>
                <w:color w:val="222222"/>
                <w:sz w:val="18"/>
                <w:szCs w:val="18"/>
              </w:rPr>
              <w:t>.</w:t>
            </w:r>
          </w:p>
          <w:p w14:paraId="1FA71CA9" w14:textId="77777777" w:rsidR="00C210FF" w:rsidRPr="0011097A" w:rsidRDefault="00C210FF" w:rsidP="00A77BF5">
            <w:pPr>
              <w:pStyle w:val="ListParagraph"/>
              <w:numPr>
                <w:ilvl w:val="0"/>
                <w:numId w:val="32"/>
              </w:numPr>
              <w:autoSpaceDE w:val="0"/>
              <w:autoSpaceDN w:val="0"/>
              <w:adjustRightInd w:val="0"/>
              <w:spacing w:after="120" w:line="280" w:lineRule="exact"/>
              <w:ind w:left="714" w:hanging="357"/>
              <w:contextualSpacing w:val="0"/>
              <w:jc w:val="left"/>
              <w:rPr>
                <w:rFonts w:ascii="Verdana" w:hAnsi="Verdana" w:cstheme="minorHAnsi"/>
                <w:sz w:val="18"/>
                <w:szCs w:val="18"/>
              </w:rPr>
            </w:pPr>
            <w:r w:rsidRPr="0011097A">
              <w:rPr>
                <w:rFonts w:ascii="Verdana" w:hAnsi="Verdana" w:cstheme="minorHAnsi"/>
                <w:b/>
                <w:sz w:val="18"/>
                <w:szCs w:val="18"/>
              </w:rPr>
              <w:t>Sustainability</w:t>
            </w:r>
            <w:r w:rsidRPr="0011097A">
              <w:rPr>
                <w:rFonts w:ascii="Verdana" w:hAnsi="Verdana" w:cstheme="minorHAnsi"/>
                <w:sz w:val="18"/>
                <w:szCs w:val="18"/>
              </w:rPr>
              <w:t>:</w:t>
            </w:r>
            <w:r w:rsidRPr="0011097A">
              <w:rPr>
                <w:rFonts w:ascii="Verdana" w:hAnsi="Verdana" w:cstheme="minorHAnsi"/>
                <w:color w:val="222222"/>
                <w:sz w:val="18"/>
                <w:szCs w:val="18"/>
              </w:rPr>
              <w:t xml:space="preserve"> In order to support public health and pharmaceutical innovation, the fee structure should ensure adequate availability of resources to support </w:t>
            </w:r>
            <w:r w:rsidRPr="0011097A">
              <w:rPr>
                <w:rFonts w:ascii="Verdana" w:hAnsi="Verdana" w:cstheme="minorHAnsi"/>
                <w:sz w:val="18"/>
                <w:szCs w:val="18"/>
              </w:rPr>
              <w:t xml:space="preserve">high quality scientific assessment by </w:t>
            </w:r>
            <w:r w:rsidRPr="0011097A">
              <w:rPr>
                <w:rFonts w:ascii="Verdana" w:hAnsi="Verdana" w:cstheme="minorHAnsi"/>
                <w:color w:val="222222"/>
                <w:sz w:val="18"/>
                <w:szCs w:val="18"/>
              </w:rPr>
              <w:t>highly qualified experts</w:t>
            </w:r>
            <w:r w:rsidRPr="0011097A">
              <w:rPr>
                <w:rFonts w:ascii="Verdana" w:hAnsi="Verdana" w:cstheme="minorHAnsi"/>
                <w:sz w:val="18"/>
                <w:szCs w:val="18"/>
              </w:rPr>
              <w:t xml:space="preserve"> within </w:t>
            </w:r>
            <w:r w:rsidRPr="0011097A">
              <w:rPr>
                <w:rFonts w:ascii="Verdana" w:hAnsi="Verdana" w:cstheme="minorHAnsi"/>
                <w:color w:val="222222"/>
                <w:sz w:val="18"/>
                <w:szCs w:val="18"/>
              </w:rPr>
              <w:t>competitive timeframes.</w:t>
            </w:r>
          </w:p>
          <w:p w14:paraId="69034CCB" w14:textId="77777777" w:rsidR="00C210FF" w:rsidRPr="0011097A" w:rsidRDefault="00C210FF" w:rsidP="00A77BF5">
            <w:pPr>
              <w:pStyle w:val="ListParagraph"/>
              <w:numPr>
                <w:ilvl w:val="0"/>
                <w:numId w:val="32"/>
              </w:numPr>
              <w:autoSpaceDE w:val="0"/>
              <w:autoSpaceDN w:val="0"/>
              <w:adjustRightInd w:val="0"/>
              <w:spacing w:after="120" w:line="280" w:lineRule="exact"/>
              <w:ind w:left="714" w:hanging="357"/>
              <w:contextualSpacing w:val="0"/>
              <w:jc w:val="left"/>
              <w:rPr>
                <w:rFonts w:ascii="Verdana" w:hAnsi="Verdana" w:cstheme="minorHAnsi"/>
                <w:sz w:val="18"/>
                <w:szCs w:val="18"/>
              </w:rPr>
            </w:pPr>
            <w:r w:rsidRPr="0011097A">
              <w:rPr>
                <w:rFonts w:ascii="Verdana" w:hAnsi="Verdana" w:cstheme="minorHAnsi"/>
                <w:b/>
                <w:color w:val="222222"/>
                <w:sz w:val="18"/>
                <w:szCs w:val="18"/>
              </w:rPr>
              <w:t>Simplicity</w:t>
            </w:r>
            <w:r w:rsidRPr="0011097A">
              <w:rPr>
                <w:rFonts w:ascii="Verdana" w:hAnsi="Verdana" w:cstheme="minorHAnsi"/>
                <w:color w:val="222222"/>
                <w:sz w:val="18"/>
                <w:szCs w:val="18"/>
              </w:rPr>
              <w:t>: The fee system should be clear and simple in order to avoid unnecessary administrative burden for payers.</w:t>
            </w:r>
          </w:p>
          <w:p w14:paraId="3EA5F9F0" w14:textId="77777777" w:rsidR="00C210FF" w:rsidRPr="0011097A" w:rsidRDefault="00C210FF" w:rsidP="00A77BF5">
            <w:pPr>
              <w:pStyle w:val="ListParagraph"/>
              <w:numPr>
                <w:ilvl w:val="0"/>
                <w:numId w:val="32"/>
              </w:numPr>
              <w:spacing w:line="280" w:lineRule="exact"/>
              <w:jc w:val="left"/>
              <w:rPr>
                <w:rFonts w:ascii="Verdana" w:hAnsi="Verdana" w:cstheme="minorHAnsi"/>
                <w:color w:val="222222"/>
                <w:sz w:val="18"/>
                <w:szCs w:val="18"/>
              </w:rPr>
            </w:pPr>
            <w:r w:rsidRPr="0011097A">
              <w:rPr>
                <w:rFonts w:ascii="Verdana" w:hAnsi="Verdana" w:cstheme="minorHAnsi"/>
                <w:b/>
                <w:color w:val="222222"/>
                <w:sz w:val="18"/>
                <w:szCs w:val="18"/>
              </w:rPr>
              <w:t>Flexibility</w:t>
            </w:r>
            <w:r w:rsidRPr="0011097A">
              <w:rPr>
                <w:rFonts w:ascii="Verdana" w:hAnsi="Verdana" w:cstheme="minorHAnsi"/>
                <w:color w:val="222222"/>
                <w:sz w:val="18"/>
                <w:szCs w:val="18"/>
              </w:rPr>
              <w:t>: Reductions and waivers should be allowed for some procedures for certain justified categories of medicines and actors (e.g. orphan drugs and SMEs) or in exceptional circumstances (e.g. imperative reasons of public health).</w:t>
            </w:r>
          </w:p>
          <w:p w14:paraId="1929D23C" w14:textId="77777777" w:rsidR="00C210FF" w:rsidRDefault="00C210FF" w:rsidP="00A77BF5">
            <w:pPr>
              <w:pStyle w:val="TabletextrowsAgency"/>
            </w:pPr>
          </w:p>
          <w:p w14:paraId="730F922E" w14:textId="50FF71FE" w:rsidR="0011097A" w:rsidRDefault="00580DCB" w:rsidP="00A77BF5">
            <w:pPr>
              <w:pStyle w:val="TabletextrowsAgency"/>
            </w:pPr>
            <w:r>
              <w:t>These principles are the lens th</w:t>
            </w:r>
            <w:r w:rsidR="00343B2C">
              <w:t>r</w:t>
            </w:r>
            <w:r>
              <w:t xml:space="preserve">ough which EFPIA viewed the </w:t>
            </w:r>
            <w:r w:rsidR="004647E5">
              <w:t xml:space="preserve">policy options presented by the Commission </w:t>
            </w:r>
            <w:r w:rsidR="00D6037B">
              <w:t>with</w:t>
            </w:r>
            <w:r w:rsidR="004647E5">
              <w:t xml:space="preserve">in </w:t>
            </w:r>
            <w:r w:rsidR="00D6037B">
              <w:t xml:space="preserve">the </w:t>
            </w:r>
            <w:r w:rsidR="004647E5">
              <w:t>IIA.</w:t>
            </w:r>
          </w:p>
          <w:p w14:paraId="620375C4" w14:textId="5AD9DD67" w:rsidR="002D3288" w:rsidRPr="0011097A" w:rsidRDefault="002D3288" w:rsidP="0011097A">
            <w:pPr>
              <w:pStyle w:val="TabletextrowsAgency"/>
            </w:pPr>
          </w:p>
        </w:tc>
      </w:tr>
      <w:tr w:rsidR="00E17C12" w:rsidRPr="00247D28" w14:paraId="308F0EAB" w14:textId="77777777" w:rsidTr="00E17C12">
        <w:tc>
          <w:tcPr>
            <w:tcW w:w="800" w:type="pct"/>
            <w:tcBorders>
              <w:top w:val="single" w:sz="6" w:space="0" w:color="FFFFFF"/>
              <w:bottom w:val="single" w:sz="6" w:space="0" w:color="FFFFFF"/>
            </w:tcBorders>
            <w:shd w:val="clear" w:color="auto" w:fill="E1E3F2"/>
          </w:tcPr>
          <w:p w14:paraId="726838F5" w14:textId="1B833555" w:rsidR="00E17C12" w:rsidRPr="00247D28" w:rsidRDefault="004647E5" w:rsidP="004647E5">
            <w:pPr>
              <w:pStyle w:val="TabletextrowsAgency"/>
              <w:jc w:val="center"/>
            </w:pPr>
            <w:r w:rsidRPr="004647E5">
              <w:lastRenderedPageBreak/>
              <w:t>B. Objectives and Policy option</w:t>
            </w:r>
          </w:p>
        </w:tc>
        <w:tc>
          <w:tcPr>
            <w:tcW w:w="4200" w:type="pct"/>
            <w:tcBorders>
              <w:top w:val="single" w:sz="6" w:space="0" w:color="FFFFFF"/>
              <w:bottom w:val="single" w:sz="6" w:space="0" w:color="FFFFFF"/>
            </w:tcBorders>
            <w:shd w:val="clear" w:color="auto" w:fill="E1E3F2"/>
          </w:tcPr>
          <w:p w14:paraId="291494B2" w14:textId="0D5F2705" w:rsidR="00253531" w:rsidRPr="00253531" w:rsidRDefault="00253531" w:rsidP="00A77BF5">
            <w:pPr>
              <w:spacing w:line="280" w:lineRule="exact"/>
              <w:jc w:val="left"/>
              <w:rPr>
                <w:rFonts w:ascii="Verdana" w:hAnsi="Verdana" w:cs="Verdana"/>
                <w:color w:val="auto"/>
                <w:sz w:val="18"/>
                <w:szCs w:val="18"/>
                <w:lang w:val="en-GB" w:eastAsia="zh-CN"/>
              </w:rPr>
            </w:pPr>
            <w:r w:rsidRPr="00577C3B">
              <w:rPr>
                <w:rFonts w:ascii="Verdana" w:hAnsi="Verdana" w:cs="Verdana"/>
                <w:b/>
                <w:color w:val="auto"/>
                <w:sz w:val="18"/>
                <w:szCs w:val="18"/>
                <w:lang w:val="en-GB" w:eastAsia="zh-CN"/>
              </w:rPr>
              <w:t>Policy Option 1 (baseline)</w:t>
            </w:r>
            <w:r w:rsidRPr="00253531">
              <w:rPr>
                <w:rFonts w:ascii="Verdana" w:hAnsi="Verdana" w:cs="Verdana"/>
                <w:color w:val="auto"/>
                <w:sz w:val="18"/>
                <w:szCs w:val="18"/>
                <w:lang w:val="en-GB" w:eastAsia="zh-CN"/>
              </w:rPr>
              <w:t xml:space="preserve">: </w:t>
            </w:r>
            <w:r w:rsidRPr="00253531">
              <w:rPr>
                <w:rFonts w:ascii="Verdana" w:hAnsi="Verdana" w:cs="Verdana"/>
                <w:i/>
                <w:color w:val="auto"/>
                <w:sz w:val="18"/>
                <w:szCs w:val="18"/>
                <w:lang w:val="en-GB" w:eastAsia="zh-CN"/>
              </w:rPr>
              <w:t>Limited changes to ensure financing the new/amended veterinary activities and to align the fee system to changes in the EMA Founding Regulation</w:t>
            </w:r>
            <w:r w:rsidR="003806BD" w:rsidRPr="003806BD">
              <w:rPr>
                <w:rFonts w:ascii="Verdana" w:hAnsi="Verdana" w:cs="Verdana"/>
                <w:color w:val="auto"/>
                <w:sz w:val="18"/>
                <w:szCs w:val="18"/>
                <w:vertAlign w:val="superscript"/>
                <w:lang w:val="en-GB" w:eastAsia="zh-CN"/>
              </w:rPr>
              <w:t>1</w:t>
            </w:r>
          </w:p>
          <w:p w14:paraId="23CA4DB4" w14:textId="77777777" w:rsidR="00E17C12" w:rsidRDefault="00E17C12" w:rsidP="00351ABB">
            <w:pPr>
              <w:pStyle w:val="TabletextrowsAgency"/>
            </w:pPr>
          </w:p>
          <w:p w14:paraId="481BF5CA" w14:textId="31628263" w:rsidR="00577C3B" w:rsidRPr="00577C3B" w:rsidRDefault="00577C3B" w:rsidP="00351ABB">
            <w:pPr>
              <w:pStyle w:val="TabletextrowsAgency"/>
              <w:rPr>
                <w:b/>
                <w:u w:val="single"/>
              </w:rPr>
            </w:pPr>
            <w:r w:rsidRPr="00577C3B">
              <w:rPr>
                <w:b/>
                <w:u w:val="single"/>
              </w:rPr>
              <w:t xml:space="preserve">EFPIA assessment: </w:t>
            </w:r>
          </w:p>
          <w:p w14:paraId="2B30DDAB" w14:textId="723ABE5A" w:rsidR="00577C3B" w:rsidRDefault="000678ED" w:rsidP="00351ABB">
            <w:pPr>
              <w:pStyle w:val="TabletextrowsAgency"/>
            </w:pPr>
            <w:r>
              <w:t xml:space="preserve">EFPIA </w:t>
            </w:r>
            <w:r w:rsidR="00EA39D8">
              <w:t xml:space="preserve">does not consider that Policy Option 1 would adequately </w:t>
            </w:r>
            <w:r w:rsidR="00F725AE" w:rsidRPr="00F725AE">
              <w:t xml:space="preserve">address the challenges of the current system and would not introduce </w:t>
            </w:r>
            <w:r w:rsidR="00B37CB7">
              <w:t xml:space="preserve">necessary </w:t>
            </w:r>
            <w:r w:rsidR="00EA39D8">
              <w:t>improvements to the EU fee system for human medicines</w:t>
            </w:r>
            <w:r w:rsidR="001144EF">
              <w:t xml:space="preserve"> (“</w:t>
            </w:r>
            <w:r w:rsidR="001144EF" w:rsidRPr="001144EF">
              <w:t>No modifications would be introduced to fees for human medicines under this option</w:t>
            </w:r>
            <w:r w:rsidR="001144EF">
              <w:t>”</w:t>
            </w:r>
            <w:r w:rsidR="001144EF" w:rsidRPr="001144EF">
              <w:rPr>
                <w:vertAlign w:val="superscript"/>
              </w:rPr>
              <w:t>1</w:t>
            </w:r>
            <w:r w:rsidR="001144EF">
              <w:t>)</w:t>
            </w:r>
            <w:r w:rsidR="00EA39D8">
              <w:t xml:space="preserve">. </w:t>
            </w:r>
            <w:r w:rsidR="00F50149">
              <w:t>Specifically</w:t>
            </w:r>
            <w:r w:rsidR="001A2B92">
              <w:t xml:space="preserve">, if implemented as a standalone change, Policy Option 1 would not </w:t>
            </w:r>
            <w:r w:rsidR="003806BD">
              <w:t xml:space="preserve">address </w:t>
            </w:r>
            <w:r w:rsidR="00C2621F">
              <w:t>the weaknesses</w:t>
            </w:r>
            <w:r w:rsidR="003806BD">
              <w:t xml:space="preserve"> </w:t>
            </w:r>
            <w:r w:rsidR="00D41A2C">
              <w:t xml:space="preserve">of </w:t>
            </w:r>
            <w:r w:rsidR="003806BD" w:rsidRPr="003806BD">
              <w:t>complex</w:t>
            </w:r>
            <w:r w:rsidR="00D41A2C">
              <w:t>ity</w:t>
            </w:r>
            <w:r w:rsidR="003806BD" w:rsidRPr="003806BD">
              <w:t xml:space="preserve"> and </w:t>
            </w:r>
            <w:r w:rsidR="00D41A2C">
              <w:t xml:space="preserve">possible </w:t>
            </w:r>
            <w:r w:rsidR="003806BD" w:rsidRPr="003806BD">
              <w:t>misalignment</w:t>
            </w:r>
            <w:r w:rsidR="00D41A2C">
              <w:t xml:space="preserve"> </w:t>
            </w:r>
            <w:r w:rsidR="00074232">
              <w:t xml:space="preserve">of fees for human medicines as </w:t>
            </w:r>
            <w:r w:rsidR="003806BD">
              <w:t>ident</w:t>
            </w:r>
            <w:r w:rsidR="00C2621F">
              <w:t>ified in the Commission</w:t>
            </w:r>
            <w:r w:rsidR="00074232">
              <w:t>’s</w:t>
            </w:r>
            <w:r w:rsidR="00C2621F">
              <w:t xml:space="preserve"> analysis</w:t>
            </w:r>
            <w:r w:rsidR="00D41A2C">
              <w:t>.</w:t>
            </w:r>
            <w:r w:rsidR="00C2621F">
              <w:t xml:space="preserve"> </w:t>
            </w:r>
            <w:r w:rsidR="00B121F3">
              <w:t xml:space="preserve">EFPIA does not offer </w:t>
            </w:r>
            <w:r w:rsidR="00351244">
              <w:t xml:space="preserve">comment on the sub-options presented here and elsewhere within the IIA related to renumeration and distribution of budget </w:t>
            </w:r>
            <w:r w:rsidR="00891B4B">
              <w:t>between EMA and NCAs</w:t>
            </w:r>
            <w:r w:rsidR="00486F8B">
              <w:t xml:space="preserve"> since this </w:t>
            </w:r>
            <w:r w:rsidR="00486F8B" w:rsidRPr="00486F8B">
              <w:t>is a matter for agreement</w:t>
            </w:r>
            <w:r w:rsidR="00EE632C">
              <w:t xml:space="preserve"> </w:t>
            </w:r>
            <w:r w:rsidR="00EE632C" w:rsidRPr="00EE632C">
              <w:t>between the Agencies concerned</w:t>
            </w:r>
            <w:r w:rsidR="00891B4B">
              <w:t>.</w:t>
            </w:r>
          </w:p>
          <w:p w14:paraId="41279058" w14:textId="25D95C95" w:rsidR="00577C3B" w:rsidRDefault="00577C3B" w:rsidP="00351ABB">
            <w:pPr>
              <w:pStyle w:val="TabletextrowsAgency"/>
            </w:pPr>
          </w:p>
          <w:p w14:paraId="1EC18717" w14:textId="7F6FD1AD" w:rsidR="00DF2E48" w:rsidRDefault="00DF2E48" w:rsidP="00351ABB">
            <w:pPr>
              <w:pStyle w:val="TabletextrowsAgency"/>
            </w:pPr>
            <w:r w:rsidRPr="001A7AD8">
              <w:rPr>
                <w:b/>
              </w:rPr>
              <w:t xml:space="preserve">Policy Option 2: </w:t>
            </w:r>
            <w:r w:rsidRPr="001A7AD8">
              <w:rPr>
                <w:b/>
                <w:i/>
              </w:rPr>
              <w:t xml:space="preserve">A cost-based fee system for human and veterinary activities </w:t>
            </w:r>
            <w:r w:rsidRPr="001A7AD8">
              <w:rPr>
                <w:i/>
              </w:rPr>
              <w:t>with no changes to the fee system structure (with the exception of changes required by the new/amended veterinary activities and to align the fee system to changes in the EMA Founding Regulation, as per Option 1)</w:t>
            </w:r>
            <w:r w:rsidR="001A7AD8" w:rsidRPr="001A7AD8">
              <w:rPr>
                <w:vertAlign w:val="superscript"/>
              </w:rPr>
              <w:t>1</w:t>
            </w:r>
          </w:p>
          <w:p w14:paraId="17E239A4" w14:textId="77777777" w:rsidR="00AE65F0" w:rsidRPr="00AE65F0" w:rsidRDefault="00AE65F0" w:rsidP="00351ABB">
            <w:pPr>
              <w:pStyle w:val="TabletextrowsAgency"/>
              <w:rPr>
                <w:b/>
                <w:u w:val="single"/>
              </w:rPr>
            </w:pPr>
            <w:r w:rsidRPr="00AE65F0">
              <w:rPr>
                <w:b/>
                <w:u w:val="single"/>
              </w:rPr>
              <w:lastRenderedPageBreak/>
              <w:t xml:space="preserve">EFPIA assessment: </w:t>
            </w:r>
          </w:p>
          <w:p w14:paraId="05A06F37" w14:textId="7876F644" w:rsidR="00AE65F0" w:rsidRDefault="00414E97" w:rsidP="00351ABB">
            <w:pPr>
              <w:pStyle w:val="TabletextrowsAgency"/>
            </w:pPr>
            <w:r>
              <w:t xml:space="preserve">EFPIA considers that </w:t>
            </w:r>
            <w:r w:rsidR="00366BB0" w:rsidRPr="00366BB0">
              <w:t>this option only partially addresses the deficiencies of the current system</w:t>
            </w:r>
            <w:r w:rsidR="001163A5">
              <w:t>. Thus</w:t>
            </w:r>
            <w:r w:rsidR="00646606">
              <w:t>, Policy Option 2 seeks to align fees cha</w:t>
            </w:r>
            <w:r w:rsidR="002B785D">
              <w:t>r</w:t>
            </w:r>
            <w:r w:rsidR="00646606">
              <w:t>ged with “</w:t>
            </w:r>
            <w:r w:rsidR="00646606" w:rsidRPr="00646606">
              <w:t>recently collected time and cost data</w:t>
            </w:r>
            <w:r w:rsidR="00646606">
              <w:t>”</w:t>
            </w:r>
            <w:r w:rsidR="00646606" w:rsidRPr="00646606">
              <w:rPr>
                <w:vertAlign w:val="superscript"/>
              </w:rPr>
              <w:t>1</w:t>
            </w:r>
            <w:r w:rsidR="00646606">
              <w:t xml:space="preserve">. </w:t>
            </w:r>
            <w:r w:rsidR="00E14C50">
              <w:t>Without addressing</w:t>
            </w:r>
            <w:r w:rsidR="00646606">
              <w:t xml:space="preserve"> how this </w:t>
            </w:r>
            <w:r w:rsidR="00503B66">
              <w:t xml:space="preserve">cost-based fee assessment model would be calculated and changed over time </w:t>
            </w:r>
            <w:r w:rsidR="00861EBB">
              <w:t>with increasing</w:t>
            </w:r>
            <w:r w:rsidR="00503B66">
              <w:t xml:space="preserve"> </w:t>
            </w:r>
            <w:r w:rsidR="00790DEE">
              <w:t xml:space="preserve">efficiencies, </w:t>
            </w:r>
            <w:r w:rsidR="00E14C50">
              <w:t xml:space="preserve">however </w:t>
            </w:r>
            <w:r w:rsidR="00790DEE">
              <w:t>the concept seems allied with EFPIA’s principle</w:t>
            </w:r>
            <w:r w:rsidR="005845F5">
              <w:t>s</w:t>
            </w:r>
            <w:r w:rsidR="00790DEE">
              <w:t xml:space="preserve"> of fairness</w:t>
            </w:r>
            <w:r w:rsidR="00AF7CDC">
              <w:t xml:space="preserve">, </w:t>
            </w:r>
            <w:r w:rsidR="00790DEE">
              <w:t>proportionality</w:t>
            </w:r>
            <w:r w:rsidR="005845F5">
              <w:t xml:space="preserve"> and transparency</w:t>
            </w:r>
            <w:r w:rsidR="00790DEE">
              <w:t>.</w:t>
            </w:r>
            <w:r w:rsidR="005845F5">
              <w:t xml:space="preserve"> Under Policy Option 2, the Commission explains that t</w:t>
            </w:r>
            <w:r w:rsidR="005845F5" w:rsidRPr="005845F5">
              <w:t xml:space="preserve">he </w:t>
            </w:r>
            <w:r w:rsidR="005845F5">
              <w:t>“</w:t>
            </w:r>
            <w:r w:rsidR="005845F5" w:rsidRPr="005845F5">
              <w:t>redefinition of main categories of fees and charges would be necessary</w:t>
            </w:r>
            <w:r w:rsidR="005845F5">
              <w:t>”</w:t>
            </w:r>
            <w:r w:rsidR="005845F5" w:rsidRPr="005845F5">
              <w:rPr>
                <w:vertAlign w:val="superscript"/>
              </w:rPr>
              <w:t>1</w:t>
            </w:r>
            <w:r w:rsidR="005845F5">
              <w:t xml:space="preserve">. EFPIA concurs with this </w:t>
            </w:r>
            <w:r w:rsidR="00861EBB">
              <w:t>point</w:t>
            </w:r>
            <w:r w:rsidR="005E7E6D">
              <w:t>,</w:t>
            </w:r>
            <w:r w:rsidR="005368D1">
              <w:t xml:space="preserve"> </w:t>
            </w:r>
            <w:r w:rsidR="00AF7CDC">
              <w:t>however</w:t>
            </w:r>
            <w:r w:rsidR="0048048F">
              <w:t xml:space="preserve">, </w:t>
            </w:r>
            <w:r w:rsidR="005368D1">
              <w:t xml:space="preserve">it is difficult to offer </w:t>
            </w:r>
            <w:r w:rsidR="00AF7CDC">
              <w:t>further detailed</w:t>
            </w:r>
            <w:r w:rsidR="005368D1">
              <w:t xml:space="preserve"> comment </w:t>
            </w:r>
            <w:r w:rsidR="007E3DC8">
              <w:t xml:space="preserve">without knowledge </w:t>
            </w:r>
            <w:r w:rsidR="00C11912">
              <w:t>of the</w:t>
            </w:r>
            <w:r w:rsidR="00683A7A">
              <w:t xml:space="preserve"> proposed</w:t>
            </w:r>
            <w:r w:rsidR="00C11912">
              <w:t xml:space="preserve"> redefined fee categories</w:t>
            </w:r>
            <w:r w:rsidR="00861EBB">
              <w:t>.</w:t>
            </w:r>
          </w:p>
          <w:p w14:paraId="6A791B10" w14:textId="77777777" w:rsidR="00646606" w:rsidRDefault="00646606" w:rsidP="00351ABB">
            <w:pPr>
              <w:pStyle w:val="TabletextrowsAgency"/>
            </w:pPr>
          </w:p>
          <w:p w14:paraId="7D6DC989" w14:textId="43FE6512" w:rsidR="004A0635" w:rsidRDefault="007D3A72" w:rsidP="00351ABB">
            <w:pPr>
              <w:pStyle w:val="TabletextrowsAgency"/>
            </w:pPr>
            <w:r>
              <w:t>U</w:t>
            </w:r>
            <w:r w:rsidR="00250813">
              <w:t xml:space="preserve">nder Policy Option 2, the fee system would remain unduly complex and cumbersome for both the </w:t>
            </w:r>
            <w:r w:rsidR="004A0635">
              <w:t>i</w:t>
            </w:r>
            <w:r w:rsidR="00250813">
              <w:t xml:space="preserve">ndustry and Agency. </w:t>
            </w:r>
          </w:p>
          <w:p w14:paraId="70750FF5" w14:textId="77777777" w:rsidR="004A0635" w:rsidRDefault="004A0635" w:rsidP="00351ABB">
            <w:pPr>
              <w:pStyle w:val="TabletextrowsAgency"/>
            </w:pPr>
          </w:p>
          <w:p w14:paraId="10F58BD4" w14:textId="77777777" w:rsidR="00CC28CD" w:rsidRDefault="0001418E" w:rsidP="00351ABB">
            <w:pPr>
              <w:pStyle w:val="TabletextrowsAgency"/>
            </w:pPr>
            <w:r>
              <w:t xml:space="preserve">Additionally, </w:t>
            </w:r>
            <w:r w:rsidR="001C1D69" w:rsidRPr="001C1D69">
              <w:t xml:space="preserve">Option 2 (and Policy Option 3 as commented on below) would introduce new fees for orphan and paediatric committee activities which currently do not involve fees. </w:t>
            </w:r>
            <w:r>
              <w:t xml:space="preserve">EFPIA does not believe that fees should be </w:t>
            </w:r>
            <w:r w:rsidR="0063436C">
              <w:t>introduced</w:t>
            </w:r>
            <w:r>
              <w:t xml:space="preserve"> for </w:t>
            </w:r>
            <w:r w:rsidR="0063436C">
              <w:t xml:space="preserve">these </w:t>
            </w:r>
            <w:r>
              <w:t xml:space="preserve">activities </w:t>
            </w:r>
            <w:r w:rsidR="00740B42">
              <w:t>as t</w:t>
            </w:r>
            <w:r w:rsidR="00A824FB" w:rsidRPr="00A824FB">
              <w:t xml:space="preserve">his </w:t>
            </w:r>
            <w:r w:rsidR="005D420C">
              <w:t xml:space="preserve">proposal seems </w:t>
            </w:r>
            <w:r w:rsidR="00740B42">
              <w:t xml:space="preserve">to be </w:t>
            </w:r>
            <w:r w:rsidR="005D420C">
              <w:t xml:space="preserve">counter to </w:t>
            </w:r>
            <w:r w:rsidR="00A824FB" w:rsidRPr="00A824FB">
              <w:t xml:space="preserve">the </w:t>
            </w:r>
            <w:r w:rsidR="00537858">
              <w:t>principle detailed</w:t>
            </w:r>
            <w:r w:rsidR="00A824FB" w:rsidRPr="00A824FB">
              <w:t xml:space="preserve"> in section B</w:t>
            </w:r>
            <w:r w:rsidR="00554C09">
              <w:t xml:space="preserve"> </w:t>
            </w:r>
            <w:r w:rsidR="00537858">
              <w:t>of</w:t>
            </w:r>
            <w:r w:rsidR="00554C09">
              <w:t xml:space="preserve"> “</w:t>
            </w:r>
            <w:r w:rsidR="00A824FB" w:rsidRPr="00A824FB">
              <w:t>respecting fee incentives set in existing policies</w:t>
            </w:r>
            <w:r w:rsidR="00554C09">
              <w:t>”</w:t>
            </w:r>
            <w:r w:rsidR="00554C09" w:rsidRPr="00554C09">
              <w:rPr>
                <w:vertAlign w:val="superscript"/>
              </w:rPr>
              <w:t>1</w:t>
            </w:r>
            <w:r w:rsidR="00A824FB" w:rsidRPr="00A824FB">
              <w:t xml:space="preserve">. </w:t>
            </w:r>
          </w:p>
          <w:p w14:paraId="61E2386A" w14:textId="77777777" w:rsidR="00CC28CD" w:rsidRDefault="00CC28CD" w:rsidP="00351ABB">
            <w:pPr>
              <w:pStyle w:val="TabletextrowsAgency"/>
            </w:pPr>
          </w:p>
          <w:p w14:paraId="5CF48CF9" w14:textId="7022F4FB" w:rsidR="00AA0E56" w:rsidRDefault="008972E3" w:rsidP="00351ABB">
            <w:pPr>
              <w:pStyle w:val="TabletextrowsAgency"/>
            </w:pPr>
            <w:r>
              <w:t>EFPIA</w:t>
            </w:r>
            <w:r w:rsidR="00F840AD">
              <w:t xml:space="preserve"> </w:t>
            </w:r>
            <w:r w:rsidR="0053200B">
              <w:t>note the absence of mention of fees for paediatric procedures in</w:t>
            </w:r>
            <w:r w:rsidR="0035748D">
              <w:t xml:space="preserve"> Article 47(3) of the paediatric regulation</w:t>
            </w:r>
            <w:r w:rsidR="0035748D">
              <w:rPr>
                <w:rStyle w:val="FootnoteReference"/>
              </w:rPr>
              <w:footnoteReference w:id="4"/>
            </w:r>
            <w:r w:rsidR="0035748D">
              <w:t>.</w:t>
            </w:r>
            <w:r w:rsidR="00F16B10">
              <w:t xml:space="preserve"> </w:t>
            </w:r>
            <w:r w:rsidR="00053A21">
              <w:t>In the case of</w:t>
            </w:r>
            <w:r w:rsidR="00E62840">
              <w:t xml:space="preserve"> paediatric investigational plans (or PIPs)</w:t>
            </w:r>
            <w:r w:rsidR="00E1724D">
              <w:t>,</w:t>
            </w:r>
            <w:r w:rsidR="00E62840">
              <w:t xml:space="preserve"> </w:t>
            </w:r>
            <w:r w:rsidR="00E1724D" w:rsidRPr="00E1724D">
              <w:t xml:space="preserve">introducing fees for </w:t>
            </w:r>
            <w:r w:rsidR="008617B1">
              <w:t>PIPs and for the subsequent modifications</w:t>
            </w:r>
            <w:r w:rsidR="00E1724D" w:rsidRPr="00E1724D">
              <w:t xml:space="preserve"> that are necessary </w:t>
            </w:r>
            <w:r w:rsidR="00E62840">
              <w:t xml:space="preserve">during a </w:t>
            </w:r>
            <w:r w:rsidR="008617B1">
              <w:t xml:space="preserve">PIP’s </w:t>
            </w:r>
            <w:r w:rsidR="00E62840">
              <w:t>lifecycle</w:t>
            </w:r>
            <w:r w:rsidR="001E7398">
              <w:t xml:space="preserve"> would </w:t>
            </w:r>
            <w:r w:rsidR="002B15F7">
              <w:t xml:space="preserve">greatly </w:t>
            </w:r>
            <w:r w:rsidR="001A11C6">
              <w:t xml:space="preserve">exacerbate the </w:t>
            </w:r>
            <w:r w:rsidR="00F13B5D">
              <w:t xml:space="preserve">existing </w:t>
            </w:r>
            <w:r w:rsidR="001A11C6">
              <w:t>administrative</w:t>
            </w:r>
            <w:r w:rsidR="008617B1">
              <w:t xml:space="preserve"> burden</w:t>
            </w:r>
            <w:r w:rsidR="001A11C6">
              <w:t xml:space="preserve"> </w:t>
            </w:r>
            <w:r w:rsidR="008617B1">
              <w:t>of the paediatric obligation</w:t>
            </w:r>
            <w:r w:rsidR="00F13B5D">
              <w:t>s</w:t>
            </w:r>
            <w:r w:rsidR="001A11C6">
              <w:t xml:space="preserve">. </w:t>
            </w:r>
          </w:p>
          <w:p w14:paraId="5F6A8D22" w14:textId="31BBF7ED" w:rsidR="00AA0E56" w:rsidRDefault="00AA0E56" w:rsidP="00351ABB">
            <w:pPr>
              <w:pStyle w:val="TabletextrowsAgency"/>
            </w:pPr>
          </w:p>
          <w:p w14:paraId="13231857" w14:textId="0EF49742" w:rsidR="003D0936" w:rsidRDefault="005165EF" w:rsidP="00351ABB">
            <w:pPr>
              <w:pStyle w:val="TabletextrowsAgency"/>
            </w:pPr>
            <w:r>
              <w:t xml:space="preserve">EFPIA </w:t>
            </w:r>
            <w:r w:rsidR="003D0936" w:rsidRPr="003D0936">
              <w:t xml:space="preserve">consider that new fees for orphan procedures would constitute a reduction in support of an incentive for industry and should be recognised as such. Further, the introduction of fees for </w:t>
            </w:r>
            <w:r w:rsidR="00935F0F">
              <w:t xml:space="preserve">these </w:t>
            </w:r>
            <w:r w:rsidR="003D0936" w:rsidRPr="003D0936">
              <w:t>procedures</w:t>
            </w:r>
            <w:r w:rsidR="00935F0F">
              <w:t xml:space="preserve"> </w:t>
            </w:r>
            <w:r w:rsidR="00E10858">
              <w:t>would be</w:t>
            </w:r>
            <w:r w:rsidR="003D0936" w:rsidRPr="003D0936">
              <w:t xml:space="preserve"> in contrast with the original intent to foster development of medicinal products for orphan diseases. In the case of new fees for orphan product development, this might become a deterrent to seeking Scientific Advice.</w:t>
            </w:r>
          </w:p>
          <w:p w14:paraId="387F189E" w14:textId="585B7CB7" w:rsidR="003D0936" w:rsidRDefault="003D0936" w:rsidP="00351ABB">
            <w:pPr>
              <w:pStyle w:val="TabletextrowsAgency"/>
            </w:pPr>
          </w:p>
          <w:p w14:paraId="48CC6C18" w14:textId="1F33E59C" w:rsidR="00935F0F" w:rsidRDefault="00935F0F" w:rsidP="00351ABB">
            <w:pPr>
              <w:pStyle w:val="TabletextrowsAgency"/>
            </w:pPr>
            <w:r>
              <w:t>Finally</w:t>
            </w:r>
            <w:r w:rsidRPr="00935F0F">
              <w:t>, since both areas apply to stages of drug development where outcomes remain highly uncertain, charging fees could, unintentionally, function as a disincentive for future engagement.</w:t>
            </w:r>
          </w:p>
          <w:p w14:paraId="24FC5ABB" w14:textId="77777777" w:rsidR="004C008F" w:rsidRDefault="004C008F" w:rsidP="00351ABB">
            <w:pPr>
              <w:pStyle w:val="TabletextrowsAgency"/>
            </w:pPr>
          </w:p>
          <w:p w14:paraId="65E73EB3" w14:textId="7FEA66F5" w:rsidR="009A1651" w:rsidRPr="00E23765" w:rsidRDefault="00E23765" w:rsidP="00351ABB">
            <w:pPr>
              <w:pStyle w:val="TabletextrowsAgency"/>
            </w:pPr>
            <w:r w:rsidRPr="00E23765">
              <w:rPr>
                <w:b/>
              </w:rPr>
              <w:lastRenderedPageBreak/>
              <w:t xml:space="preserve">Policy Option 3: </w:t>
            </w:r>
            <w:r w:rsidRPr="00E23765">
              <w:rPr>
                <w:b/>
                <w:i/>
              </w:rPr>
              <w:t>A cost-based fee system for human and veterinary activities, with a simpler and more efficient system structure</w:t>
            </w:r>
            <w:r w:rsidRPr="00E23765">
              <w:rPr>
                <w:i/>
              </w:rPr>
              <w:t xml:space="preserve">, </w:t>
            </w:r>
            <w:proofErr w:type="gramStart"/>
            <w:r w:rsidRPr="00E23765">
              <w:rPr>
                <w:i/>
              </w:rPr>
              <w:t>taking into account</w:t>
            </w:r>
            <w:proofErr w:type="gramEnd"/>
            <w:r w:rsidRPr="00E23765">
              <w:rPr>
                <w:i/>
              </w:rPr>
              <w:t xml:space="preserve"> also the changes required by the new/amended veterinary activities and the redefinition of fees/charges categories in the EMA Founding Regulation</w:t>
            </w:r>
            <w:r w:rsidRPr="00E23765">
              <w:rPr>
                <w:vertAlign w:val="superscript"/>
              </w:rPr>
              <w:t>1</w:t>
            </w:r>
          </w:p>
          <w:p w14:paraId="585E88EF" w14:textId="62B6D60F" w:rsidR="009A1651" w:rsidRDefault="009A1651" w:rsidP="00351ABB">
            <w:pPr>
              <w:pStyle w:val="TabletextrowsAgency"/>
            </w:pPr>
          </w:p>
          <w:p w14:paraId="1B3EE12E" w14:textId="73ED66E2" w:rsidR="008A05B1" w:rsidRPr="00121A15" w:rsidRDefault="008A05B1" w:rsidP="00351ABB">
            <w:pPr>
              <w:pStyle w:val="TabletextrowsAgency"/>
              <w:rPr>
                <w:b/>
                <w:u w:val="single"/>
              </w:rPr>
            </w:pPr>
            <w:r w:rsidRPr="00121A15">
              <w:rPr>
                <w:b/>
                <w:u w:val="single"/>
              </w:rPr>
              <w:t>EFPIA assessment:</w:t>
            </w:r>
          </w:p>
          <w:p w14:paraId="680DDB1E" w14:textId="46C1E11E" w:rsidR="003E545E" w:rsidRDefault="00121A15" w:rsidP="00351ABB">
            <w:pPr>
              <w:pStyle w:val="TabletextrowsAgency"/>
            </w:pPr>
            <w:r>
              <w:t xml:space="preserve">EFPIA considers that </w:t>
            </w:r>
            <w:r w:rsidR="008A05B1">
              <w:t xml:space="preserve">Policy Option 3 </w:t>
            </w:r>
            <w:r>
              <w:t>is</w:t>
            </w:r>
            <w:r w:rsidR="00A2150F">
              <w:t xml:space="preserve"> </w:t>
            </w:r>
            <w:r>
              <w:t>most consistent</w:t>
            </w:r>
            <w:r w:rsidR="00A2150F">
              <w:t xml:space="preserve"> with its principles and position for improving the EMA fee system. </w:t>
            </w:r>
            <w:r w:rsidR="009C79B2">
              <w:t xml:space="preserve">EFPIA </w:t>
            </w:r>
            <w:r w:rsidR="00F148B4">
              <w:t>considers</w:t>
            </w:r>
            <w:r w:rsidR="009C79B2">
              <w:t xml:space="preserve"> that the approach </w:t>
            </w:r>
            <w:r w:rsidR="007F3433">
              <w:t xml:space="preserve">described </w:t>
            </w:r>
            <w:r w:rsidR="009C79B2">
              <w:t xml:space="preserve">would </w:t>
            </w:r>
            <w:r w:rsidR="00B27F9D">
              <w:t xml:space="preserve">simplify many of the current complexities by introducing </w:t>
            </w:r>
            <w:r w:rsidR="00B27F9D" w:rsidRPr="00B27F9D">
              <w:t xml:space="preserve">a </w:t>
            </w:r>
            <w:r w:rsidR="00B27F9D">
              <w:t>“</w:t>
            </w:r>
            <w:r w:rsidR="00B27F9D" w:rsidRPr="00B27F9D">
              <w:t>single CAP annual fee</w:t>
            </w:r>
            <w:r w:rsidR="00B27F9D">
              <w:t>” for many procedures</w:t>
            </w:r>
            <w:r w:rsidR="00E7055C">
              <w:t xml:space="preserve"> and variations</w:t>
            </w:r>
            <w:r w:rsidR="00B27F9D" w:rsidRPr="00B27F9D">
              <w:t>.</w:t>
            </w:r>
            <w:r w:rsidR="008D4627">
              <w:t xml:space="preserve"> However, the precise details </w:t>
            </w:r>
            <w:r w:rsidR="00E7055C">
              <w:t xml:space="preserve">for implementing this proposal would </w:t>
            </w:r>
            <w:r w:rsidR="00262D3E">
              <w:t xml:space="preserve">need to be evaluated </w:t>
            </w:r>
            <w:r w:rsidR="00E7055C">
              <w:t xml:space="preserve">before </w:t>
            </w:r>
            <w:r w:rsidR="00251C04" w:rsidRPr="00251C04">
              <w:t xml:space="preserve">EFPIA can provide its </w:t>
            </w:r>
            <w:r w:rsidR="00E7055C">
              <w:t xml:space="preserve">full support. For </w:t>
            </w:r>
            <w:r w:rsidR="00760F73">
              <w:t>example</w:t>
            </w:r>
            <w:r w:rsidR="00E7055C">
              <w:t>,</w:t>
            </w:r>
            <w:r w:rsidR="00052ED8">
              <w:t xml:space="preserve"> </w:t>
            </w:r>
            <w:r w:rsidR="004E59DC">
              <w:t xml:space="preserve">transparency would be required in order to </w:t>
            </w:r>
            <w:r w:rsidR="00760F73">
              <w:t>confirm that such fees are</w:t>
            </w:r>
            <w:r w:rsidR="004E59DC">
              <w:t xml:space="preserve"> </w:t>
            </w:r>
            <w:r w:rsidR="00CB3D04">
              <w:t>proportiona</w:t>
            </w:r>
            <w:r w:rsidR="00151AF6">
              <w:t>te</w:t>
            </w:r>
            <w:r w:rsidR="00CB3D04">
              <w:t xml:space="preserve"> </w:t>
            </w:r>
            <w:r w:rsidR="00151AF6">
              <w:t xml:space="preserve">to the </w:t>
            </w:r>
            <w:r w:rsidR="00CB3D04">
              <w:t>Agency</w:t>
            </w:r>
            <w:r w:rsidR="00151AF6">
              <w:t>’s</w:t>
            </w:r>
            <w:r w:rsidR="00CB3D04">
              <w:t xml:space="preserve"> workload. </w:t>
            </w:r>
          </w:p>
          <w:p w14:paraId="5A577E51" w14:textId="77777777" w:rsidR="003E545E" w:rsidRDefault="003E545E" w:rsidP="00351ABB">
            <w:pPr>
              <w:pStyle w:val="TabletextrowsAgency"/>
            </w:pPr>
          </w:p>
          <w:p w14:paraId="3B3AAAF8" w14:textId="77777777" w:rsidR="00643C2A" w:rsidRDefault="00EE2D63" w:rsidP="00351ABB">
            <w:pPr>
              <w:pStyle w:val="TabletextrowsAgency"/>
            </w:pPr>
            <w:r>
              <w:t>EFPIA concurs that a</w:t>
            </w:r>
            <w:r w:rsidR="00560C86" w:rsidRPr="00560C86">
              <w:t xml:space="preserve"> separate fee for licence extensions would appear justified. Simplification of pre-authorisation procedure fees is also welcome, although details regarding changes for product with PRIME designation need to be evaluated, again to ensure innovation is not discouraged.</w:t>
            </w:r>
            <w:r w:rsidR="007F3286">
              <w:t xml:space="preserve"> </w:t>
            </w:r>
          </w:p>
          <w:p w14:paraId="0EEC38AC" w14:textId="77777777" w:rsidR="00643C2A" w:rsidRDefault="00643C2A" w:rsidP="00351ABB">
            <w:pPr>
              <w:pStyle w:val="TabletextrowsAgency"/>
            </w:pPr>
          </w:p>
          <w:p w14:paraId="5C4E974C" w14:textId="07377C98" w:rsidR="00E020FE" w:rsidRDefault="007F3286" w:rsidP="00351ABB">
            <w:pPr>
              <w:pStyle w:val="TabletextrowsAgency"/>
            </w:pPr>
            <w:r>
              <w:t xml:space="preserve">EFPIA </w:t>
            </w:r>
            <w:r w:rsidR="00643C2A">
              <w:t>reiterates</w:t>
            </w:r>
            <w:r>
              <w:t xml:space="preserve"> </w:t>
            </w:r>
            <w:r w:rsidR="00643C2A">
              <w:t>its</w:t>
            </w:r>
            <w:r>
              <w:t xml:space="preserve"> concerns for levying fees for orphan and paediatric medicines as </w:t>
            </w:r>
            <w:r w:rsidR="003E545E">
              <w:t>mentioned under Policy Option 2</w:t>
            </w:r>
            <w:r w:rsidR="00643C2A">
              <w:t xml:space="preserve"> above</w:t>
            </w:r>
            <w:r w:rsidR="003E545E">
              <w:t xml:space="preserve">. </w:t>
            </w:r>
          </w:p>
          <w:p w14:paraId="33090703" w14:textId="77777777" w:rsidR="00E020FE" w:rsidRDefault="00E020FE" w:rsidP="00351ABB">
            <w:pPr>
              <w:pStyle w:val="TabletextrowsAgency"/>
            </w:pPr>
          </w:p>
          <w:p w14:paraId="5C07A8B8" w14:textId="43C13DF7" w:rsidR="003E545E" w:rsidRDefault="003E545E" w:rsidP="00351ABB">
            <w:pPr>
              <w:pStyle w:val="TabletextrowsAgency"/>
            </w:pPr>
            <w:r>
              <w:t xml:space="preserve">Finally, it </w:t>
            </w:r>
            <w:r w:rsidR="00C902C6">
              <w:t>remains</w:t>
            </w:r>
            <w:r>
              <w:t xml:space="preserve"> </w:t>
            </w:r>
            <w:r w:rsidR="00F14831">
              <w:t xml:space="preserve">unclear how the conserved Agency resources resulting from </w:t>
            </w:r>
            <w:r w:rsidR="00DF0253">
              <w:t xml:space="preserve">administrative simplification </w:t>
            </w:r>
            <w:r w:rsidR="00E80A3B">
              <w:t>would</w:t>
            </w:r>
            <w:r w:rsidR="00DF0253">
              <w:t xml:space="preserve"> be redirected to support </w:t>
            </w:r>
            <w:r w:rsidR="009A682D">
              <w:t xml:space="preserve">other essential </w:t>
            </w:r>
            <w:r w:rsidR="00DF0253">
              <w:t xml:space="preserve">Agency </w:t>
            </w:r>
            <w:r w:rsidR="00613E01">
              <w:t>miss</w:t>
            </w:r>
            <w:r w:rsidR="009A682D">
              <w:t>ions</w:t>
            </w:r>
            <w:r w:rsidR="0061653D" w:rsidRPr="0061653D">
              <w:t xml:space="preserve"> such as implementation of the EMA’s Regulatory Science Strategy to 2025</w:t>
            </w:r>
            <w:r w:rsidR="0061653D">
              <w:rPr>
                <w:rStyle w:val="FootnoteReference"/>
              </w:rPr>
              <w:footnoteReference w:id="5"/>
            </w:r>
            <w:r w:rsidR="0061653D">
              <w:t>.</w:t>
            </w:r>
          </w:p>
          <w:p w14:paraId="2CA78CEF" w14:textId="1054497D" w:rsidR="003E545E" w:rsidRDefault="003E545E" w:rsidP="00351ABB">
            <w:pPr>
              <w:pStyle w:val="TabletextrowsAgency"/>
            </w:pPr>
          </w:p>
          <w:p w14:paraId="0C9400A1" w14:textId="59227C36" w:rsidR="00AC4AA7" w:rsidRPr="00AC4AA7" w:rsidRDefault="00AC4AA7" w:rsidP="00351ABB">
            <w:pPr>
              <w:pStyle w:val="TabletextrowsAgency"/>
              <w:rPr>
                <w:b/>
                <w:u w:val="single"/>
              </w:rPr>
            </w:pPr>
            <w:r w:rsidRPr="00AC4AA7">
              <w:rPr>
                <w:b/>
                <w:u w:val="single"/>
              </w:rPr>
              <w:t>Summary of EFPIA assessment:</w:t>
            </w:r>
          </w:p>
          <w:p w14:paraId="235E0984" w14:textId="0412A375" w:rsidR="0027509E" w:rsidRDefault="0027509E" w:rsidP="00351ABB">
            <w:pPr>
              <w:pStyle w:val="TabletextrowsAgency"/>
            </w:pPr>
            <w:r>
              <w:t>In sum</w:t>
            </w:r>
            <w:r w:rsidR="00946570">
              <w:t>mary</w:t>
            </w:r>
            <w:r>
              <w:t xml:space="preserve">, EFPIA considers that Policy Option 3 </w:t>
            </w:r>
            <w:r w:rsidR="0060631D">
              <w:t>appears to be</w:t>
            </w:r>
            <w:r>
              <w:t xml:space="preserve"> most </w:t>
            </w:r>
            <w:r w:rsidR="007C1CA3">
              <w:t>consistent with</w:t>
            </w:r>
            <w:r>
              <w:t xml:space="preserve"> its </w:t>
            </w:r>
            <w:r w:rsidR="00FF3267">
              <w:t xml:space="preserve">principles and </w:t>
            </w:r>
            <w:r>
              <w:t>position</w:t>
            </w:r>
            <w:r w:rsidR="007C1CA3">
              <w:t>, and therefore, holds the most promise.</w:t>
            </w:r>
            <w:r w:rsidR="008B5E21">
              <w:t xml:space="preserve"> </w:t>
            </w:r>
            <w:r w:rsidR="00973359">
              <w:t>Specifically</w:t>
            </w:r>
            <w:r w:rsidR="00067ADE">
              <w:t>,</w:t>
            </w:r>
            <w:r w:rsidR="00067ADE" w:rsidRPr="00067ADE">
              <w:t xml:space="preserve"> EFPIA supports an expanded annual maintenance fee that includes all Type IA/IB variations together with additional changes to the rest of the fee structure to remove a number of anomalies that have developed over time.</w:t>
            </w:r>
            <w:r w:rsidR="00067ADE">
              <w:t xml:space="preserve"> </w:t>
            </w:r>
            <w:r w:rsidR="003B43CB">
              <w:t xml:space="preserve">EFPIA </w:t>
            </w:r>
            <w:r w:rsidR="0078135E">
              <w:t xml:space="preserve">does not </w:t>
            </w:r>
            <w:r w:rsidR="00946570">
              <w:t>support</w:t>
            </w:r>
            <w:r w:rsidR="003B43CB">
              <w:t xml:space="preserve"> the </w:t>
            </w:r>
            <w:r w:rsidR="00332E71">
              <w:t>addition</w:t>
            </w:r>
            <w:r w:rsidR="003B43CB">
              <w:t xml:space="preserve"> of fees for orphan and paediatric activities</w:t>
            </w:r>
            <w:r w:rsidR="00225E87">
              <w:t xml:space="preserve"> as </w:t>
            </w:r>
            <w:r w:rsidR="00A17217" w:rsidRPr="00A17217">
              <w:t>they risk de-incentivising research in these areas of high un-met medical need in the future and run contrary to the Commission’s stated principle of respecting fee incentives set in existing policies</w:t>
            </w:r>
            <w:r w:rsidR="003B43CB">
              <w:t>.</w:t>
            </w:r>
            <w:r w:rsidR="00225E87">
              <w:t xml:space="preserve"> </w:t>
            </w:r>
          </w:p>
        </w:tc>
      </w:tr>
      <w:tr w:rsidR="00E17C12" w:rsidRPr="00247D28" w14:paraId="1EA8E385" w14:textId="77777777" w:rsidTr="00E17C12">
        <w:tc>
          <w:tcPr>
            <w:tcW w:w="800" w:type="pct"/>
            <w:tcBorders>
              <w:top w:val="single" w:sz="6" w:space="0" w:color="FFFFFF"/>
              <w:bottom w:val="single" w:sz="6" w:space="0" w:color="FFFFFF"/>
            </w:tcBorders>
            <w:shd w:val="clear" w:color="auto" w:fill="E1E3F2"/>
          </w:tcPr>
          <w:p w14:paraId="6D23CB96" w14:textId="2EA3D7E5" w:rsidR="00E17C12" w:rsidRPr="00247D28" w:rsidRDefault="004B0C81" w:rsidP="004B0C81">
            <w:pPr>
              <w:pStyle w:val="TabletextrowsAgency"/>
              <w:jc w:val="center"/>
            </w:pPr>
            <w:r w:rsidRPr="004B0C81">
              <w:lastRenderedPageBreak/>
              <w:t>C.  Preliminary Assessment of Expected Impacts</w:t>
            </w:r>
          </w:p>
        </w:tc>
        <w:tc>
          <w:tcPr>
            <w:tcW w:w="4200" w:type="pct"/>
            <w:tcBorders>
              <w:top w:val="single" w:sz="6" w:space="0" w:color="FFFFFF"/>
              <w:bottom w:val="single" w:sz="6" w:space="0" w:color="FFFFFF"/>
            </w:tcBorders>
            <w:shd w:val="clear" w:color="auto" w:fill="E1E3F2"/>
          </w:tcPr>
          <w:p w14:paraId="25273BE9" w14:textId="1811542B" w:rsidR="00F325A4" w:rsidRPr="00F325A4" w:rsidRDefault="00F325A4" w:rsidP="00351ABB">
            <w:pPr>
              <w:pStyle w:val="TabletextrowsAgency"/>
              <w:rPr>
                <w:b/>
                <w:u w:val="single"/>
              </w:rPr>
            </w:pPr>
            <w:r w:rsidRPr="00F325A4">
              <w:rPr>
                <w:b/>
                <w:u w:val="single"/>
              </w:rPr>
              <w:t>Economic Impacts:</w:t>
            </w:r>
          </w:p>
          <w:p w14:paraId="0BE13942" w14:textId="1AD39D70" w:rsidR="00E17C12" w:rsidRDefault="00235B1F" w:rsidP="00351ABB">
            <w:pPr>
              <w:pStyle w:val="TabletextrowsAgency"/>
            </w:pPr>
            <w:r>
              <w:t xml:space="preserve">EFPIA concurs </w:t>
            </w:r>
            <w:r w:rsidR="002D5168">
              <w:t>with the Commission’s assessment that “(r)</w:t>
            </w:r>
            <w:proofErr w:type="spellStart"/>
            <w:r w:rsidR="00E17C12" w:rsidRPr="00A13725">
              <w:t>ecalculating</w:t>
            </w:r>
            <w:proofErr w:type="spellEnd"/>
            <w:r w:rsidR="00E17C12" w:rsidRPr="00A13725">
              <w:t xml:space="preserve"> fees to reflect recently collected time and cost data would make them fairer, and bring them closer to the level of the costs</w:t>
            </w:r>
            <w:r w:rsidR="002D5168">
              <w:t>”</w:t>
            </w:r>
            <w:r w:rsidR="002D5168" w:rsidRPr="002D5168">
              <w:rPr>
                <w:vertAlign w:val="superscript"/>
              </w:rPr>
              <w:t>1</w:t>
            </w:r>
            <w:r w:rsidR="00E17C12">
              <w:t xml:space="preserve">. </w:t>
            </w:r>
            <w:r w:rsidR="00BC7626">
              <w:t>W</w:t>
            </w:r>
            <w:r w:rsidR="00A817C4">
              <w:t xml:space="preserve">ith cost-based analyses, fees should be </w:t>
            </w:r>
            <w:r w:rsidR="00873B2E">
              <w:t xml:space="preserve">recalculated at least annually </w:t>
            </w:r>
            <w:r w:rsidR="00BC7626" w:rsidRPr="00BC7626">
              <w:t>based on the inflation rate</w:t>
            </w:r>
            <w:r w:rsidR="001B3413">
              <w:t>,</w:t>
            </w:r>
            <w:r w:rsidR="00BC7626" w:rsidRPr="00BC7626">
              <w:t xml:space="preserve"> </w:t>
            </w:r>
            <w:r w:rsidR="00873B2E">
              <w:t xml:space="preserve">and the </w:t>
            </w:r>
            <w:r w:rsidR="001B3413">
              <w:t xml:space="preserve">resulting </w:t>
            </w:r>
            <w:r w:rsidR="00873B2E">
              <w:t xml:space="preserve">assessment </w:t>
            </w:r>
            <w:r w:rsidR="000B15AF">
              <w:t xml:space="preserve">should be </w:t>
            </w:r>
            <w:r w:rsidR="00B932DB">
              <w:t>communicated for public consult.</w:t>
            </w:r>
            <w:r w:rsidR="00E17C12">
              <w:t xml:space="preserve"> </w:t>
            </w:r>
            <w:r w:rsidR="007B5200">
              <w:t xml:space="preserve">EFPIA </w:t>
            </w:r>
            <w:r w:rsidR="00E43F2B">
              <w:t>also</w:t>
            </w:r>
            <w:r w:rsidR="007B5200">
              <w:t xml:space="preserve"> agrees that “(s)</w:t>
            </w:r>
            <w:proofErr w:type="spellStart"/>
            <w:r w:rsidR="00E17C12" w:rsidRPr="00E65900">
              <w:t>implification</w:t>
            </w:r>
            <w:proofErr w:type="spellEnd"/>
            <w:r w:rsidR="00E17C12" w:rsidRPr="00E65900">
              <w:t xml:space="preserve"> of the fee system could have a positive impact on financial predictability for fee payers, reduce the administrative burden for them and for EMA, and could reduce the impact of fluctuations of fee revenue on EMA’s budget</w:t>
            </w:r>
            <w:r w:rsidR="007B5200">
              <w:t>”</w:t>
            </w:r>
            <w:r w:rsidR="00E43F2B" w:rsidRPr="00E43F2B">
              <w:rPr>
                <w:vertAlign w:val="superscript"/>
              </w:rPr>
              <w:t>1,4</w:t>
            </w:r>
            <w:r w:rsidR="00E43F2B">
              <w:t>.</w:t>
            </w:r>
            <w:r w:rsidR="00E17C12">
              <w:t xml:space="preserve"> </w:t>
            </w:r>
          </w:p>
          <w:p w14:paraId="4E2CBF5D" w14:textId="25B6438E" w:rsidR="002F6732" w:rsidRDefault="002F6732" w:rsidP="00351ABB">
            <w:pPr>
              <w:pStyle w:val="TabletextrowsAgency"/>
            </w:pPr>
          </w:p>
          <w:p w14:paraId="19526E95" w14:textId="13AD5CF2" w:rsidR="00E43F2B" w:rsidRPr="00610C92" w:rsidRDefault="00E17C12" w:rsidP="00351ABB">
            <w:pPr>
              <w:pStyle w:val="TabletextrowsAgency"/>
              <w:rPr>
                <w:b/>
                <w:u w:val="single"/>
              </w:rPr>
            </w:pPr>
            <w:r w:rsidRPr="00610C92">
              <w:rPr>
                <w:b/>
                <w:u w:val="single"/>
              </w:rPr>
              <w:t>Social impact</w:t>
            </w:r>
            <w:r w:rsidR="00610C92" w:rsidRPr="00610C92">
              <w:rPr>
                <w:b/>
                <w:u w:val="single"/>
              </w:rPr>
              <w:t>s:</w:t>
            </w:r>
          </w:p>
          <w:p w14:paraId="3C2C2B60" w14:textId="09D6D877" w:rsidR="00E17C12" w:rsidRDefault="00E11028" w:rsidP="00B34215">
            <w:pPr>
              <w:pStyle w:val="TabletextrowsAgency"/>
            </w:pPr>
            <w:r>
              <w:t>IIA states that a “</w:t>
            </w:r>
            <w:r w:rsidR="00E17C12" w:rsidRPr="00032AC0">
              <w:t xml:space="preserve">fairer, simpler and more efficient fee system can positively </w:t>
            </w:r>
            <w:r w:rsidR="00345664" w:rsidRPr="00345664">
              <w:t xml:space="preserve">affect </w:t>
            </w:r>
            <w:r w:rsidR="00E17C12" w:rsidRPr="00032AC0">
              <w:t>EMA’s ability to carry out its activities in an effective way, in terms of timely and high-quality assessment of the quality, safety and efficacy of medicines, by reducing the administrative burden</w:t>
            </w:r>
            <w:r w:rsidR="004B0B2B">
              <w:t>”</w:t>
            </w:r>
            <w:r w:rsidR="004B0B2B" w:rsidRPr="004B0B2B">
              <w:rPr>
                <w:vertAlign w:val="superscript"/>
              </w:rPr>
              <w:t>1</w:t>
            </w:r>
            <w:r w:rsidR="00E17C12">
              <w:t xml:space="preserve">. </w:t>
            </w:r>
            <w:r w:rsidR="004B0B2B">
              <w:t xml:space="preserve">EFPIA concurs with </w:t>
            </w:r>
            <w:r w:rsidR="00D07EB9">
              <w:t xml:space="preserve">this assessment of the likely positive impact on EMA and similarly on the opportunity to </w:t>
            </w:r>
            <w:r w:rsidR="00E17C12">
              <w:t xml:space="preserve">also improve public health by </w:t>
            </w:r>
            <w:r w:rsidR="00DB011F">
              <w:t xml:space="preserve">enabling more efficient procedures </w:t>
            </w:r>
            <w:r w:rsidR="001B3198">
              <w:t>and</w:t>
            </w:r>
            <w:r w:rsidR="00E17C12">
              <w:t xml:space="preserve"> more timely access to new medicines</w:t>
            </w:r>
            <w:r w:rsidR="001B3198">
              <w:t>.</w:t>
            </w:r>
            <w:r w:rsidR="002F6732">
              <w:t xml:space="preserve"> </w:t>
            </w:r>
            <w:r w:rsidR="00F86B44">
              <w:t>In fact</w:t>
            </w:r>
            <w:r w:rsidR="002F6732">
              <w:t xml:space="preserve">, procedural </w:t>
            </w:r>
            <w:r w:rsidR="00F86B44">
              <w:t>and</w:t>
            </w:r>
            <w:r w:rsidR="002F6732">
              <w:t xml:space="preserve"> administrative efficiency gains from fee system changes </w:t>
            </w:r>
            <w:r w:rsidR="00F86B44">
              <w:t>may</w:t>
            </w:r>
            <w:r w:rsidR="002F6732">
              <w:t xml:space="preserve"> improve overall regulatory timelines</w:t>
            </w:r>
            <w:r w:rsidR="002F6732">
              <w:rPr>
                <w:rStyle w:val="FootnoteReference"/>
              </w:rPr>
              <w:footnoteReference w:id="6"/>
            </w:r>
            <w:r w:rsidR="002F6732">
              <w:t>.</w:t>
            </w:r>
          </w:p>
          <w:p w14:paraId="114631C2" w14:textId="53752CCD" w:rsidR="00E17C12" w:rsidRDefault="00E17C12" w:rsidP="00B34215">
            <w:pPr>
              <w:pStyle w:val="TabletextrowsAgency"/>
            </w:pPr>
          </w:p>
        </w:tc>
      </w:tr>
      <w:tr w:rsidR="00DD1CFE" w:rsidRPr="00247D28" w14:paraId="170B3C0F" w14:textId="77777777" w:rsidTr="00E17C12">
        <w:tc>
          <w:tcPr>
            <w:tcW w:w="800" w:type="pct"/>
            <w:tcBorders>
              <w:top w:val="single" w:sz="6" w:space="0" w:color="FFFFFF"/>
              <w:bottom w:val="single" w:sz="6" w:space="0" w:color="FFFFFF"/>
            </w:tcBorders>
            <w:shd w:val="clear" w:color="auto" w:fill="E1E3F2"/>
          </w:tcPr>
          <w:p w14:paraId="658FDDAE" w14:textId="18438DB4" w:rsidR="00DD1CFE" w:rsidRPr="00247D28" w:rsidRDefault="009E31B7" w:rsidP="009E31B7">
            <w:pPr>
              <w:pStyle w:val="TabletextrowsAgency"/>
              <w:jc w:val="center"/>
            </w:pPr>
            <w:r w:rsidRPr="009E31B7">
              <w:t>D. Evidence Base, Data collection and Better Regulation Instruments</w:t>
            </w:r>
          </w:p>
        </w:tc>
        <w:tc>
          <w:tcPr>
            <w:tcW w:w="4200" w:type="pct"/>
            <w:tcBorders>
              <w:top w:val="single" w:sz="6" w:space="0" w:color="FFFFFF"/>
              <w:bottom w:val="single" w:sz="6" w:space="0" w:color="FFFFFF"/>
            </w:tcBorders>
            <w:shd w:val="clear" w:color="auto" w:fill="E1E3F2"/>
          </w:tcPr>
          <w:p w14:paraId="7F4B6CB5" w14:textId="31B8C36F" w:rsidR="00357FE4" w:rsidRDefault="003B1C1D" w:rsidP="009E31B7">
            <w:pPr>
              <w:pStyle w:val="TabletextrowsAgency"/>
            </w:pPr>
            <w:r w:rsidRPr="003B1C1D">
              <w:t>EFPIA appreciates the opportunity to comment on the Inception Impact Assessment</w:t>
            </w:r>
            <w:r w:rsidR="007C598C">
              <w:t xml:space="preserve"> and</w:t>
            </w:r>
            <w:r w:rsidRPr="003B1C1D">
              <w:t xml:space="preserve"> offer input on the policy options. </w:t>
            </w:r>
            <w:r w:rsidR="00357FE4">
              <w:t xml:space="preserve">The Commission notes that </w:t>
            </w:r>
            <w:r w:rsidR="009E31B7">
              <w:t xml:space="preserve">the public consultation should be </w:t>
            </w:r>
            <w:r w:rsidR="00113FE7">
              <w:t>“</w:t>
            </w:r>
            <w:r w:rsidR="009E31B7">
              <w:t>launched by the end of 2019 and would run for a period of 12 weeks</w:t>
            </w:r>
            <w:r w:rsidR="00113FE7">
              <w:t>”</w:t>
            </w:r>
            <w:r w:rsidR="00113FE7" w:rsidRPr="00113FE7">
              <w:rPr>
                <w:vertAlign w:val="superscript"/>
              </w:rPr>
              <w:t>1</w:t>
            </w:r>
            <w:r w:rsidR="009E31B7">
              <w:t xml:space="preserve">. </w:t>
            </w:r>
            <w:r>
              <w:t>EFPIA</w:t>
            </w:r>
            <w:r w:rsidR="009E31B7">
              <w:t xml:space="preserve"> look</w:t>
            </w:r>
            <w:r>
              <w:t>s</w:t>
            </w:r>
            <w:r w:rsidR="009E31B7">
              <w:t xml:space="preserve"> forward to </w:t>
            </w:r>
            <w:r>
              <w:t xml:space="preserve">continuing its engagement with the Commission and additional human medicine stakeholders during this upcoming </w:t>
            </w:r>
            <w:r w:rsidR="00EC3870">
              <w:t xml:space="preserve">consultation. With the </w:t>
            </w:r>
            <w:r w:rsidR="007E3BA2">
              <w:t xml:space="preserve">fast-changing, state-of-art advances in medicine development and regulatory science, it is </w:t>
            </w:r>
            <w:r w:rsidR="00E93A9A">
              <w:t>essential</w:t>
            </w:r>
            <w:r w:rsidR="007E3BA2">
              <w:t xml:space="preserve"> that the </w:t>
            </w:r>
            <w:r w:rsidR="008F0AD6">
              <w:t>EU’s fee system remains transparen</w:t>
            </w:r>
            <w:r w:rsidR="00E93A9A">
              <w:t>t</w:t>
            </w:r>
            <w:r w:rsidR="008F0AD6">
              <w:t>,</w:t>
            </w:r>
            <w:r w:rsidR="00E93A9A">
              <w:t xml:space="preserve"> fair and proportional, sustainable, simple and flexible</w:t>
            </w:r>
            <w:r w:rsidR="00A415AB">
              <w:t xml:space="preserve"> in the future</w:t>
            </w:r>
            <w:r w:rsidR="00E93A9A">
              <w:t xml:space="preserve">. </w:t>
            </w:r>
          </w:p>
          <w:p w14:paraId="5B3839B8" w14:textId="6CD34002" w:rsidR="00F86B44" w:rsidRDefault="00F86B44" w:rsidP="009E31B7">
            <w:pPr>
              <w:pStyle w:val="TabletextrowsAgency"/>
            </w:pPr>
          </w:p>
        </w:tc>
      </w:tr>
    </w:tbl>
    <w:p w14:paraId="74B113B9" w14:textId="77777777" w:rsidR="0010436A" w:rsidRDefault="0010436A" w:rsidP="0010436A">
      <w:pPr>
        <w:pStyle w:val="BodytextAgency"/>
      </w:pPr>
    </w:p>
    <w:sectPr w:rsidR="0010436A" w:rsidSect="003B0925">
      <w:headerReference w:type="even" r:id="rId21"/>
      <w:headerReference w:type="default" r:id="rId22"/>
      <w:footerReference w:type="even" r:id="rId23"/>
      <w:footerReference w:type="default" r:id="rId24"/>
      <w:headerReference w:type="first" r:id="rId25"/>
      <w:footerReference w:type="first" r:id="rId26"/>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1AEEE" w14:textId="77777777" w:rsidR="002765BC" w:rsidRPr="00EC0021" w:rsidRDefault="002765BC" w:rsidP="005044A1">
      <w:r>
        <w:separator/>
      </w:r>
    </w:p>
  </w:endnote>
  <w:endnote w:type="continuationSeparator" w:id="0">
    <w:p w14:paraId="3B369FC4" w14:textId="77777777" w:rsidR="002765BC" w:rsidRPr="00EC0021" w:rsidRDefault="002765BC" w:rsidP="0050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fa Rotis Sans Serif">
    <w:altName w:val="Calibri"/>
    <w:panose1 w:val="020B0604020202020204"/>
    <w:charset w:val="00"/>
    <w:family w:val="auto"/>
    <w:pitch w:val="variable"/>
    <w:sig w:usb0="00000003" w:usb1="00000000" w:usb2="00000000" w:usb3="00000000" w:csb0="00000001" w:csb1="00000000"/>
  </w:font>
  <w:font w:name="Playbill">
    <w:panose1 w:val="020B0604020202020204"/>
    <w:charset w:val="4D"/>
    <w:family w:val="decorative"/>
    <w:pitch w:val="variable"/>
    <w:sig w:usb0="00000003" w:usb1="00000000" w:usb2="00000000" w:usb3="00000000" w:csb0="00000001" w:csb1="00000000"/>
  </w:font>
  <w:font w:name="Frutiger 45 Light">
    <w:altName w:val="Cambria"/>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820F" w14:textId="77777777" w:rsidR="00AB6331" w:rsidRDefault="00AB6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787917"/>
      <w:docPartObj>
        <w:docPartGallery w:val="Page Numbers (Bottom of Page)"/>
        <w:docPartUnique/>
      </w:docPartObj>
    </w:sdtPr>
    <w:sdtEndPr>
      <w:rPr>
        <w:color w:val="FFFFFF" w:themeColor="background1"/>
        <w:sz w:val="24"/>
      </w:rPr>
    </w:sdtEndPr>
    <w:sdtContent>
      <w:p w14:paraId="312DC507" w14:textId="77777777" w:rsidR="00AB6331" w:rsidRDefault="00AB6331">
        <w:pPr>
          <w:pStyle w:val="Footer"/>
          <w:jc w:val="right"/>
        </w:pPr>
      </w:p>
      <w:tbl>
        <w:tblPr>
          <w:tblStyle w:val="TableGrid"/>
          <w:tblW w:w="93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934"/>
          <w:gridCol w:w="935"/>
          <w:gridCol w:w="935"/>
          <w:gridCol w:w="3738"/>
          <w:gridCol w:w="935"/>
          <w:gridCol w:w="935"/>
          <w:gridCol w:w="935"/>
        </w:tblGrid>
        <w:tr w:rsidR="00AB6331" w14:paraId="620B4416" w14:textId="77777777" w:rsidTr="000A0C78">
          <w:trPr>
            <w:trHeight w:val="719"/>
          </w:trPr>
          <w:tc>
            <w:tcPr>
              <w:tcW w:w="934" w:type="dxa"/>
            </w:tcPr>
            <w:p w14:paraId="43EC5EF5" w14:textId="77777777" w:rsidR="00AB6331" w:rsidRDefault="00AB6331" w:rsidP="000A0C78">
              <w:pPr>
                <w:jc w:val="center"/>
              </w:pPr>
              <w:r>
                <w:rPr>
                  <w:noProof/>
                  <w:lang w:val="en-GB" w:eastAsia="en-GB"/>
                </w:rPr>
                <w:drawing>
                  <wp:inline distT="0" distB="0" distL="0" distR="0" wp14:anchorId="2645AC88" wp14:editId="59F894C7">
                    <wp:extent cx="586740" cy="586740"/>
                    <wp:effectExtent l="19050" t="0" r="3810" b="0"/>
                    <wp:docPr id="15" name="Picture 14" descr="Blo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4.png"/>
                            <pic:cNvPicPr/>
                          </pic:nvPicPr>
                          <pic:blipFill>
                            <a:blip r:embed="rId1"/>
                            <a:stretch>
                              <a:fillRect/>
                            </a:stretch>
                          </pic:blipFill>
                          <pic:spPr>
                            <a:xfrm>
                              <a:off x="0" y="0"/>
                              <a:ext cx="586740" cy="586740"/>
                            </a:xfrm>
                            <a:prstGeom prst="rect">
                              <a:avLst/>
                            </a:prstGeom>
                          </pic:spPr>
                        </pic:pic>
                      </a:graphicData>
                    </a:graphic>
                  </wp:inline>
                </w:drawing>
              </w:r>
            </w:p>
          </w:tc>
          <w:tc>
            <w:tcPr>
              <w:tcW w:w="935" w:type="dxa"/>
            </w:tcPr>
            <w:p w14:paraId="5E03A66F" w14:textId="77777777" w:rsidR="00AB6331" w:rsidRDefault="00AB6331" w:rsidP="000A0C78">
              <w:pPr>
                <w:jc w:val="center"/>
              </w:pPr>
              <w:r>
                <w:rPr>
                  <w:noProof/>
                  <w:lang w:val="en-GB" w:eastAsia="en-GB"/>
                </w:rPr>
                <w:drawing>
                  <wp:inline distT="0" distB="0" distL="0" distR="0" wp14:anchorId="3070790D" wp14:editId="65E0AAA2">
                    <wp:extent cx="587375" cy="587375"/>
                    <wp:effectExtent l="19050" t="0" r="3175" b="0"/>
                    <wp:docPr id="16" name="Picture 15" descr="Blo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5.png"/>
                            <pic:cNvPicPr/>
                          </pic:nvPicPr>
                          <pic:blipFill>
                            <a:blip r:embed="rId2"/>
                            <a:stretch>
                              <a:fillRect/>
                            </a:stretch>
                          </pic:blipFill>
                          <pic:spPr>
                            <a:xfrm>
                              <a:off x="0" y="0"/>
                              <a:ext cx="587375" cy="587375"/>
                            </a:xfrm>
                            <a:prstGeom prst="rect">
                              <a:avLst/>
                            </a:prstGeom>
                          </pic:spPr>
                        </pic:pic>
                      </a:graphicData>
                    </a:graphic>
                  </wp:inline>
                </w:drawing>
              </w:r>
            </w:p>
          </w:tc>
          <w:tc>
            <w:tcPr>
              <w:tcW w:w="935" w:type="dxa"/>
            </w:tcPr>
            <w:p w14:paraId="4D14CA76" w14:textId="77777777" w:rsidR="00AB6331" w:rsidRDefault="00AB6331" w:rsidP="000A0C78">
              <w:pPr>
                <w:jc w:val="center"/>
              </w:pPr>
              <w:r>
                <w:rPr>
                  <w:noProof/>
                  <w:lang w:val="en-GB" w:eastAsia="en-GB"/>
                </w:rPr>
                <w:drawing>
                  <wp:inline distT="0" distB="0" distL="0" distR="0" wp14:anchorId="76FEEA8E" wp14:editId="2C794465">
                    <wp:extent cx="587375" cy="587375"/>
                    <wp:effectExtent l="19050" t="0" r="3175" b="0"/>
                    <wp:docPr id="17" name="Picture 16" descr="Blo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1.png"/>
                            <pic:cNvPicPr/>
                          </pic:nvPicPr>
                          <pic:blipFill>
                            <a:blip r:embed="rId3"/>
                            <a:stretch>
                              <a:fillRect/>
                            </a:stretch>
                          </pic:blipFill>
                          <pic:spPr>
                            <a:xfrm>
                              <a:off x="0" y="0"/>
                              <a:ext cx="587375" cy="587375"/>
                            </a:xfrm>
                            <a:prstGeom prst="rect">
                              <a:avLst/>
                            </a:prstGeom>
                          </pic:spPr>
                        </pic:pic>
                      </a:graphicData>
                    </a:graphic>
                  </wp:inline>
                </w:drawing>
              </w:r>
            </w:p>
          </w:tc>
          <w:tc>
            <w:tcPr>
              <w:tcW w:w="3738" w:type="dxa"/>
            </w:tcPr>
            <w:p w14:paraId="31A7FE6A" w14:textId="77777777" w:rsidR="00AB6331" w:rsidRPr="00E26AC8" w:rsidRDefault="00AB6331" w:rsidP="000A0C78">
              <w:pPr>
                <w:pStyle w:val="Pa2"/>
                <w:spacing w:line="180" w:lineRule="exact"/>
                <w:jc w:val="center"/>
                <w:rPr>
                  <w:rFonts w:asciiTheme="minorHAnsi" w:hAnsiTheme="minorHAnsi" w:cs="Agfa Rotis Sans Serif"/>
                  <w:b/>
                  <w:color w:val="31808B"/>
                  <w:sz w:val="20"/>
                  <w:szCs w:val="16"/>
                </w:rPr>
              </w:pPr>
              <w:r w:rsidRPr="00E26AC8">
                <w:rPr>
                  <w:rStyle w:val="A10"/>
                  <w:rFonts w:asciiTheme="minorHAnsi" w:hAnsiTheme="minorHAnsi"/>
                  <w:b w:val="0"/>
                  <w:color w:val="31808B"/>
                  <w:sz w:val="20"/>
                </w:rPr>
                <w:t>EFPIA Brussels Office</w:t>
              </w:r>
            </w:p>
            <w:p w14:paraId="14D7F16A" w14:textId="77777777" w:rsidR="00AB6331" w:rsidRPr="00E26AC8" w:rsidRDefault="00AB6331" w:rsidP="000A0C78">
              <w:pPr>
                <w:pStyle w:val="Pa2"/>
                <w:spacing w:line="180" w:lineRule="exact"/>
                <w:jc w:val="center"/>
                <w:rPr>
                  <w:rFonts w:asciiTheme="minorHAnsi" w:hAnsiTheme="minorHAnsi" w:cs="Frutiger 45 Light"/>
                  <w:b/>
                  <w:color w:val="808080"/>
                  <w:sz w:val="20"/>
                  <w:szCs w:val="16"/>
                </w:rPr>
              </w:pPr>
              <w:r w:rsidRPr="00E26AC8">
                <w:rPr>
                  <w:rStyle w:val="A10"/>
                  <w:rFonts w:asciiTheme="minorHAnsi" w:hAnsiTheme="minorHAnsi" w:cs="Frutiger 45 Light"/>
                  <w:b w:val="0"/>
                  <w:bCs w:val="0"/>
                  <w:color w:val="808080"/>
                  <w:sz w:val="20"/>
                </w:rPr>
                <w:t xml:space="preserve">Leopold Plaza Building </w:t>
              </w:r>
              <w:r w:rsidRPr="00E26AC8">
                <w:rPr>
                  <w:rFonts w:asciiTheme="minorHAnsi" w:hAnsiTheme="minorHAnsi"/>
                  <w:noProof/>
                  <w:lang w:val="en-GB" w:eastAsia="en-GB"/>
                </w:rPr>
                <w:drawing>
                  <wp:inline distT="0" distB="0" distL="0" distR="0" wp14:anchorId="4341A571" wp14:editId="4874B638">
                    <wp:extent cx="58998" cy="61912"/>
                    <wp:effectExtent l="0" t="0" r="0" b="0"/>
                    <wp:docPr id="4"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4" cstate="print"/>
                            <a:stretch>
                              <a:fillRect/>
                            </a:stretch>
                          </pic:blipFill>
                          <pic:spPr>
                            <a:xfrm>
                              <a:off x="0" y="0"/>
                              <a:ext cx="65827" cy="69078"/>
                            </a:xfrm>
                            <a:prstGeom prst="rect">
                              <a:avLst/>
                            </a:prstGeom>
                            <a:noFill/>
                          </pic:spPr>
                        </pic:pic>
                      </a:graphicData>
                    </a:graphic>
                  </wp:inline>
                </w:drawing>
              </w:r>
              <w:r w:rsidRPr="00E26AC8">
                <w:rPr>
                  <w:rStyle w:val="A11"/>
                  <w:rFonts w:asciiTheme="minorHAnsi" w:hAnsiTheme="minorHAnsi"/>
                  <w:b/>
                  <w:color w:val="808080"/>
                  <w:sz w:val="36"/>
                </w:rPr>
                <w:t xml:space="preserve"> </w:t>
              </w:r>
              <w:r w:rsidRPr="00E26AC8">
                <w:rPr>
                  <w:rStyle w:val="A10"/>
                  <w:rFonts w:asciiTheme="minorHAnsi" w:hAnsiTheme="minorHAnsi" w:cs="Frutiger 45 Light"/>
                  <w:b w:val="0"/>
                  <w:bCs w:val="0"/>
                  <w:color w:val="808080"/>
                  <w:sz w:val="20"/>
                </w:rPr>
                <w:t xml:space="preserve">Rue du </w:t>
              </w:r>
              <w:proofErr w:type="spellStart"/>
              <w:r w:rsidRPr="00E26AC8">
                <w:rPr>
                  <w:rStyle w:val="A10"/>
                  <w:rFonts w:asciiTheme="minorHAnsi" w:hAnsiTheme="minorHAnsi" w:cs="Frutiger 45 Light"/>
                  <w:b w:val="0"/>
                  <w:bCs w:val="0"/>
                  <w:color w:val="808080"/>
                  <w:sz w:val="20"/>
                </w:rPr>
                <w:t>Trône</w:t>
              </w:r>
              <w:proofErr w:type="spellEnd"/>
              <w:r w:rsidRPr="00E26AC8">
                <w:rPr>
                  <w:rStyle w:val="A10"/>
                  <w:rFonts w:asciiTheme="minorHAnsi" w:hAnsiTheme="minorHAnsi" w:cs="Frutiger 45 Light"/>
                  <w:b w:val="0"/>
                  <w:bCs w:val="0"/>
                  <w:color w:val="808080"/>
                  <w:sz w:val="20"/>
                </w:rPr>
                <w:t xml:space="preserve"> 108 </w:t>
              </w:r>
            </w:p>
            <w:p w14:paraId="3B553F3B" w14:textId="77777777" w:rsidR="00AB6331" w:rsidRPr="008617B1" w:rsidRDefault="00AB6331" w:rsidP="000A0C78">
              <w:pPr>
                <w:pStyle w:val="Pa2"/>
                <w:spacing w:line="180" w:lineRule="exact"/>
                <w:jc w:val="center"/>
                <w:rPr>
                  <w:rFonts w:asciiTheme="minorHAnsi" w:hAnsiTheme="minorHAnsi" w:cs="Frutiger 45 Light"/>
                  <w:b/>
                  <w:color w:val="808080"/>
                  <w:sz w:val="20"/>
                  <w:szCs w:val="16"/>
                  <w:lang w:val="de-CH"/>
                </w:rPr>
              </w:pPr>
              <w:r w:rsidRPr="008617B1">
                <w:rPr>
                  <w:rStyle w:val="A10"/>
                  <w:rFonts w:asciiTheme="minorHAnsi" w:hAnsiTheme="minorHAnsi" w:cs="Frutiger 45 Light"/>
                  <w:b w:val="0"/>
                  <w:bCs w:val="0"/>
                  <w:color w:val="808080"/>
                  <w:sz w:val="20"/>
                  <w:lang w:val="de-CH"/>
                </w:rPr>
                <w:t xml:space="preserve">B-1050 Brussels </w:t>
              </w:r>
              <w:r w:rsidRPr="00E26AC8">
                <w:rPr>
                  <w:rFonts w:asciiTheme="minorHAnsi" w:hAnsiTheme="minorHAnsi"/>
                  <w:noProof/>
                  <w:lang w:val="en-GB" w:eastAsia="en-GB"/>
                </w:rPr>
                <w:drawing>
                  <wp:inline distT="0" distB="0" distL="0" distR="0" wp14:anchorId="407F57D6" wp14:editId="7059903F">
                    <wp:extent cx="58998" cy="61912"/>
                    <wp:effectExtent l="0" t="0" r="0" b="0"/>
                    <wp:docPr id="6"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4" cstate="print"/>
                            <a:stretch>
                              <a:fillRect/>
                            </a:stretch>
                          </pic:blipFill>
                          <pic:spPr>
                            <a:xfrm>
                              <a:off x="0" y="0"/>
                              <a:ext cx="65827" cy="69078"/>
                            </a:xfrm>
                            <a:prstGeom prst="rect">
                              <a:avLst/>
                            </a:prstGeom>
                            <a:noFill/>
                          </pic:spPr>
                        </pic:pic>
                      </a:graphicData>
                    </a:graphic>
                  </wp:inline>
                </w:drawing>
              </w:r>
              <w:r w:rsidRPr="008617B1">
                <w:rPr>
                  <w:rStyle w:val="A11"/>
                  <w:rFonts w:asciiTheme="minorHAnsi" w:hAnsiTheme="minorHAnsi"/>
                  <w:b/>
                  <w:color w:val="808080"/>
                  <w:sz w:val="36"/>
                  <w:lang w:val="de-CH"/>
                </w:rPr>
                <w:t xml:space="preserve"> </w:t>
              </w:r>
              <w:r w:rsidRPr="008617B1">
                <w:rPr>
                  <w:rStyle w:val="A10"/>
                  <w:rFonts w:asciiTheme="minorHAnsi" w:hAnsiTheme="minorHAnsi" w:cs="Frutiger 45 Light"/>
                  <w:b w:val="0"/>
                  <w:bCs w:val="0"/>
                  <w:color w:val="808080"/>
                  <w:sz w:val="20"/>
                  <w:lang w:val="de-CH"/>
                </w:rPr>
                <w:t>Belgium</w:t>
              </w:r>
            </w:p>
            <w:p w14:paraId="50679E76" w14:textId="77777777" w:rsidR="00AB6331" w:rsidRPr="008617B1" w:rsidRDefault="00AB6331" w:rsidP="000A0C78">
              <w:pPr>
                <w:pStyle w:val="Pa2"/>
                <w:spacing w:line="180" w:lineRule="exact"/>
                <w:jc w:val="center"/>
                <w:rPr>
                  <w:rFonts w:asciiTheme="minorHAnsi" w:hAnsiTheme="minorHAnsi" w:cs="Frutiger 45 Light"/>
                  <w:b/>
                  <w:color w:val="808080"/>
                  <w:sz w:val="20"/>
                  <w:szCs w:val="16"/>
                  <w:lang w:val="de-CH"/>
                </w:rPr>
              </w:pPr>
              <w:r w:rsidRPr="008617B1">
                <w:rPr>
                  <w:rStyle w:val="A10"/>
                  <w:rFonts w:asciiTheme="minorHAnsi" w:hAnsiTheme="minorHAnsi" w:cs="Frutiger 45 Light"/>
                  <w:b w:val="0"/>
                  <w:bCs w:val="0"/>
                  <w:color w:val="808080"/>
                  <w:sz w:val="20"/>
                  <w:lang w:val="de-CH"/>
                </w:rPr>
                <w:t xml:space="preserve">Tel: + 32 (0)2 626 25 55 </w:t>
              </w:r>
              <w:r w:rsidRPr="00E26AC8">
                <w:rPr>
                  <w:rFonts w:asciiTheme="minorHAnsi" w:hAnsiTheme="minorHAnsi"/>
                  <w:noProof/>
                  <w:lang w:val="en-GB" w:eastAsia="en-GB"/>
                </w:rPr>
                <w:drawing>
                  <wp:inline distT="0" distB="0" distL="0" distR="0" wp14:anchorId="36FFA31E" wp14:editId="082194D6">
                    <wp:extent cx="58998" cy="61912"/>
                    <wp:effectExtent l="0" t="0" r="0" b="0"/>
                    <wp:docPr id="18"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4" cstate="print"/>
                            <a:stretch>
                              <a:fillRect/>
                            </a:stretch>
                          </pic:blipFill>
                          <pic:spPr>
                            <a:xfrm>
                              <a:off x="0" y="0"/>
                              <a:ext cx="65827" cy="69078"/>
                            </a:xfrm>
                            <a:prstGeom prst="rect">
                              <a:avLst/>
                            </a:prstGeom>
                            <a:noFill/>
                          </pic:spPr>
                        </pic:pic>
                      </a:graphicData>
                    </a:graphic>
                  </wp:inline>
                </w:drawing>
              </w:r>
            </w:p>
            <w:p w14:paraId="32370184" w14:textId="77777777" w:rsidR="00AB6331" w:rsidRPr="008617B1" w:rsidRDefault="00AB6331" w:rsidP="000A0C78">
              <w:pPr>
                <w:spacing w:line="180" w:lineRule="exact"/>
                <w:jc w:val="center"/>
                <w:rPr>
                  <w:lang w:val="de-CH"/>
                </w:rPr>
              </w:pPr>
              <w:r w:rsidRPr="008617B1">
                <w:rPr>
                  <w:rStyle w:val="A10"/>
                  <w:rFonts w:asciiTheme="minorHAnsi" w:hAnsiTheme="minorHAnsi"/>
                  <w:b w:val="0"/>
                  <w:color w:val="31808B"/>
                  <w:sz w:val="20"/>
                  <w:lang w:val="de-CH"/>
                </w:rPr>
                <w:t xml:space="preserve">www.efpia.eu </w:t>
              </w:r>
              <w:r w:rsidRPr="00E26AC8">
                <w:rPr>
                  <w:rFonts w:asciiTheme="minorHAnsi" w:hAnsiTheme="minorHAnsi"/>
                  <w:noProof/>
                  <w:sz w:val="24"/>
                  <w:lang w:val="en-GB" w:eastAsia="en-GB"/>
                </w:rPr>
                <w:drawing>
                  <wp:inline distT="0" distB="0" distL="0" distR="0" wp14:anchorId="0B578E8B" wp14:editId="390411D6">
                    <wp:extent cx="58998" cy="61912"/>
                    <wp:effectExtent l="0" t="0" r="0" b="0"/>
                    <wp:docPr id="19"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4" cstate="print"/>
                            <a:stretch>
                              <a:fillRect/>
                            </a:stretch>
                          </pic:blipFill>
                          <pic:spPr>
                            <a:xfrm>
                              <a:off x="0" y="0"/>
                              <a:ext cx="65827" cy="69078"/>
                            </a:xfrm>
                            <a:prstGeom prst="rect">
                              <a:avLst/>
                            </a:prstGeom>
                            <a:noFill/>
                          </pic:spPr>
                        </pic:pic>
                      </a:graphicData>
                    </a:graphic>
                  </wp:inline>
                </w:drawing>
              </w:r>
              <w:r w:rsidRPr="008617B1">
                <w:rPr>
                  <w:rStyle w:val="A11"/>
                  <w:rFonts w:asciiTheme="minorHAnsi" w:hAnsiTheme="minorHAnsi"/>
                  <w:b/>
                  <w:color w:val="31808B"/>
                  <w:sz w:val="36"/>
                  <w:lang w:val="de-CH"/>
                </w:rPr>
                <w:t xml:space="preserve"> </w:t>
              </w:r>
              <w:r w:rsidRPr="008617B1">
                <w:rPr>
                  <w:rStyle w:val="A10"/>
                  <w:rFonts w:asciiTheme="minorHAnsi" w:hAnsiTheme="minorHAnsi"/>
                  <w:b w:val="0"/>
                  <w:color w:val="31808B"/>
                  <w:sz w:val="20"/>
                  <w:lang w:val="de-CH"/>
                </w:rPr>
                <w:t>info@efpia.eu</w:t>
              </w:r>
            </w:p>
          </w:tc>
          <w:tc>
            <w:tcPr>
              <w:tcW w:w="935" w:type="dxa"/>
            </w:tcPr>
            <w:p w14:paraId="0341E6F8" w14:textId="77777777" w:rsidR="00AB6331" w:rsidRDefault="00AB6331" w:rsidP="000A0C78">
              <w:pPr>
                <w:jc w:val="center"/>
              </w:pPr>
              <w:r>
                <w:rPr>
                  <w:noProof/>
                  <w:lang w:val="en-GB" w:eastAsia="en-GB"/>
                </w:rPr>
                <w:drawing>
                  <wp:inline distT="0" distB="0" distL="0" distR="0" wp14:anchorId="6C2D0014" wp14:editId="1568E818">
                    <wp:extent cx="587375" cy="587375"/>
                    <wp:effectExtent l="19050" t="0" r="3175" b="0"/>
                    <wp:docPr id="20" name="Picture 17" descr="Blo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5.png"/>
                            <pic:cNvPicPr/>
                          </pic:nvPicPr>
                          <pic:blipFill>
                            <a:blip r:embed="rId2"/>
                            <a:stretch>
                              <a:fillRect/>
                            </a:stretch>
                          </pic:blipFill>
                          <pic:spPr>
                            <a:xfrm>
                              <a:off x="0" y="0"/>
                              <a:ext cx="587375" cy="587375"/>
                            </a:xfrm>
                            <a:prstGeom prst="rect">
                              <a:avLst/>
                            </a:prstGeom>
                          </pic:spPr>
                        </pic:pic>
                      </a:graphicData>
                    </a:graphic>
                  </wp:inline>
                </w:drawing>
              </w:r>
            </w:p>
          </w:tc>
          <w:tc>
            <w:tcPr>
              <w:tcW w:w="935" w:type="dxa"/>
            </w:tcPr>
            <w:p w14:paraId="12466C8C" w14:textId="77777777" w:rsidR="00AB6331" w:rsidRDefault="00AB6331" w:rsidP="000A0C78">
              <w:pPr>
                <w:jc w:val="center"/>
              </w:pPr>
              <w:r>
                <w:rPr>
                  <w:noProof/>
                  <w:lang w:val="en-GB" w:eastAsia="en-GB"/>
                </w:rPr>
                <w:drawing>
                  <wp:inline distT="0" distB="0" distL="0" distR="0" wp14:anchorId="749C98B0" wp14:editId="369A8C14">
                    <wp:extent cx="587375" cy="587375"/>
                    <wp:effectExtent l="19050" t="0" r="3175" b="0"/>
                    <wp:docPr id="21" name="Picture 18" descr="Blo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3.png"/>
                            <pic:cNvPicPr/>
                          </pic:nvPicPr>
                          <pic:blipFill>
                            <a:blip r:embed="rId5"/>
                            <a:stretch>
                              <a:fillRect/>
                            </a:stretch>
                          </pic:blipFill>
                          <pic:spPr>
                            <a:xfrm>
                              <a:off x="0" y="0"/>
                              <a:ext cx="587375" cy="587375"/>
                            </a:xfrm>
                            <a:prstGeom prst="rect">
                              <a:avLst/>
                            </a:prstGeom>
                          </pic:spPr>
                        </pic:pic>
                      </a:graphicData>
                    </a:graphic>
                  </wp:inline>
                </w:drawing>
              </w:r>
            </w:p>
          </w:tc>
          <w:tc>
            <w:tcPr>
              <w:tcW w:w="935" w:type="dxa"/>
            </w:tcPr>
            <w:p w14:paraId="32BEF008" w14:textId="77777777" w:rsidR="00AB6331" w:rsidRDefault="00AB6331" w:rsidP="000A0C78">
              <w:pPr>
                <w:jc w:val="center"/>
              </w:pPr>
              <w:r>
                <w:rPr>
                  <w:noProof/>
                  <w:lang w:val="en-GB" w:eastAsia="en-GB"/>
                </w:rPr>
                <w:drawing>
                  <wp:inline distT="0" distB="0" distL="0" distR="0" wp14:anchorId="61FCA3B8" wp14:editId="3421BC7C">
                    <wp:extent cx="587375" cy="587375"/>
                    <wp:effectExtent l="19050" t="0" r="3175" b="0"/>
                    <wp:docPr id="22" name="Picture 19" descr="Blo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6.png"/>
                            <pic:cNvPicPr/>
                          </pic:nvPicPr>
                          <pic:blipFill>
                            <a:blip r:embed="rId6"/>
                            <a:stretch>
                              <a:fillRect/>
                            </a:stretch>
                          </pic:blipFill>
                          <pic:spPr>
                            <a:xfrm>
                              <a:off x="0" y="0"/>
                              <a:ext cx="587375" cy="587375"/>
                            </a:xfrm>
                            <a:prstGeom prst="rect">
                              <a:avLst/>
                            </a:prstGeom>
                          </pic:spPr>
                        </pic:pic>
                      </a:graphicData>
                    </a:graphic>
                  </wp:inline>
                </w:drawing>
              </w:r>
            </w:p>
          </w:tc>
        </w:tr>
      </w:tbl>
      <w:p w14:paraId="653FF062" w14:textId="77777777" w:rsidR="00AB6331" w:rsidRDefault="002765BC" w:rsidP="00EB13F3">
        <w:pPr>
          <w:pStyle w:val="Footer"/>
        </w:pPr>
      </w:p>
    </w:sdtContent>
  </w:sdt>
  <w:p w14:paraId="60F5CB1F" w14:textId="77777777" w:rsidR="00AB6331" w:rsidRPr="003933AB" w:rsidRDefault="00AB6331" w:rsidP="00393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3B609" w14:textId="77777777" w:rsidR="00AB6331" w:rsidRDefault="00AB6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F2BEF" w14:textId="77777777" w:rsidR="002765BC" w:rsidRPr="00EC0021" w:rsidRDefault="002765BC" w:rsidP="005044A1">
      <w:r>
        <w:separator/>
      </w:r>
    </w:p>
  </w:footnote>
  <w:footnote w:type="continuationSeparator" w:id="0">
    <w:p w14:paraId="55BCC2EC" w14:textId="77777777" w:rsidR="002765BC" w:rsidRPr="00EC0021" w:rsidRDefault="002765BC" w:rsidP="005044A1">
      <w:r>
        <w:continuationSeparator/>
      </w:r>
    </w:p>
  </w:footnote>
  <w:footnote w:id="1">
    <w:p w14:paraId="0D8966E2" w14:textId="4938D9B5" w:rsidR="00E728DF" w:rsidRPr="00E728DF" w:rsidRDefault="00E728DF">
      <w:pPr>
        <w:pStyle w:val="FootnoteText"/>
        <w:rPr>
          <w:lang w:val="en-US"/>
        </w:rPr>
      </w:pPr>
      <w:r>
        <w:rPr>
          <w:rStyle w:val="FootnoteReference"/>
        </w:rPr>
        <w:footnoteRef/>
      </w:r>
      <w:r>
        <w:t xml:space="preserve"> </w:t>
      </w:r>
      <w:r w:rsidR="00C16FDC">
        <w:t xml:space="preserve">Public Consultation: </w:t>
      </w:r>
      <w:r w:rsidR="00D4400C">
        <w:rPr>
          <w:lang w:val="en-US"/>
        </w:rPr>
        <w:t>EU Commission, DG Sant</w:t>
      </w:r>
      <w:r w:rsidR="00D4400C">
        <w:rPr>
          <w:rFonts w:cstheme="minorHAnsi"/>
          <w:lang w:val="en-US"/>
        </w:rPr>
        <w:t>é</w:t>
      </w:r>
      <w:r w:rsidR="00D4400C">
        <w:rPr>
          <w:lang w:val="en-US"/>
        </w:rPr>
        <w:t xml:space="preserve">, </w:t>
      </w:r>
      <w:r w:rsidR="00C16FDC">
        <w:rPr>
          <w:lang w:val="en-US"/>
        </w:rPr>
        <w:t xml:space="preserve">Inception Impact Assessment for </w:t>
      </w:r>
      <w:r w:rsidR="00C16FDC" w:rsidRPr="00C16FDC">
        <w:rPr>
          <w:lang w:val="en-US"/>
        </w:rPr>
        <w:t>Revision of the EMA fee system</w:t>
      </w:r>
      <w:r w:rsidR="00C16FDC">
        <w:rPr>
          <w:lang w:val="en-US"/>
        </w:rPr>
        <w:t>; September 2019.</w:t>
      </w:r>
    </w:p>
  </w:footnote>
  <w:footnote w:id="2">
    <w:p w14:paraId="4B04071C" w14:textId="0A36D7CF" w:rsidR="00EA7983" w:rsidRPr="00EA7983" w:rsidRDefault="00EA7983">
      <w:pPr>
        <w:pStyle w:val="FootnoteText"/>
        <w:rPr>
          <w:lang w:val="en-US"/>
        </w:rPr>
      </w:pPr>
      <w:r>
        <w:rPr>
          <w:rStyle w:val="FootnoteReference"/>
        </w:rPr>
        <w:footnoteRef/>
      </w:r>
      <w:r>
        <w:t xml:space="preserve"> </w:t>
      </w:r>
      <w:r w:rsidRPr="00EA7983">
        <w:t xml:space="preserve">EFPIA’s comments are in the context of fees levied </w:t>
      </w:r>
      <w:r w:rsidR="0055050D">
        <w:t>within the EU Regulatory System</w:t>
      </w:r>
      <w:r w:rsidRPr="00EA7983">
        <w:t xml:space="preserve"> </w:t>
      </w:r>
      <w:r w:rsidR="0055050D">
        <w:t>for regulatory activities provided for</w:t>
      </w:r>
      <w:r w:rsidRPr="00EA7983">
        <w:t xml:space="preserve"> human medicinal product</w:t>
      </w:r>
      <w:r w:rsidR="0055050D">
        <w:t>s.</w:t>
      </w:r>
    </w:p>
  </w:footnote>
  <w:footnote w:id="3">
    <w:p w14:paraId="735C6BD0" w14:textId="719AEF01" w:rsidR="006A4947" w:rsidRPr="006A4947" w:rsidRDefault="006A4947">
      <w:pPr>
        <w:pStyle w:val="FootnoteText"/>
        <w:rPr>
          <w:lang w:val="en-US"/>
        </w:rPr>
      </w:pPr>
      <w:r>
        <w:rPr>
          <w:rStyle w:val="FootnoteReference"/>
        </w:rPr>
        <w:footnoteRef/>
      </w:r>
      <w:r>
        <w:t xml:space="preserve"> </w:t>
      </w:r>
      <w:r w:rsidRPr="006A4947">
        <w:t>Council Regulation (EC) No 297/95 and Regulation (EU) No 658/201</w:t>
      </w:r>
    </w:p>
  </w:footnote>
  <w:footnote w:id="4">
    <w:p w14:paraId="60C3D247" w14:textId="755831DC" w:rsidR="0035748D" w:rsidRPr="00ED652D" w:rsidRDefault="0035748D" w:rsidP="0035748D">
      <w:pPr>
        <w:pStyle w:val="FootnoteText"/>
        <w:rPr>
          <w:i/>
        </w:rPr>
      </w:pPr>
      <w:r w:rsidRPr="00ED652D">
        <w:rPr>
          <w:rStyle w:val="FootnoteReference"/>
          <w:i/>
        </w:rPr>
        <w:footnoteRef/>
      </w:r>
      <w:r w:rsidRPr="00ED652D">
        <w:rPr>
          <w:i/>
        </w:rPr>
        <w:t xml:space="preserve"> Article 47</w:t>
      </w:r>
      <w:r w:rsidR="00ED652D" w:rsidRPr="00ED652D">
        <w:rPr>
          <w:i/>
        </w:rPr>
        <w:t>(</w:t>
      </w:r>
      <w:r w:rsidRPr="00ED652D">
        <w:rPr>
          <w:i/>
        </w:rPr>
        <w:t>3</w:t>
      </w:r>
      <w:r w:rsidR="00ED652D" w:rsidRPr="00ED652D">
        <w:rPr>
          <w:i/>
        </w:rPr>
        <w:t>)</w:t>
      </w:r>
      <w:r w:rsidRPr="00ED652D">
        <w:rPr>
          <w:i/>
        </w:rPr>
        <w:t>. Assessments of the following by the Paediatric Committee shall be free of charge: (a) applications for waiver; (b) applications for deferral; (c) paediatric investigation plans; (d) compliance with the agreed paediatric investigation plan.</w:t>
      </w:r>
    </w:p>
  </w:footnote>
  <w:footnote w:id="5">
    <w:p w14:paraId="685EF4CB" w14:textId="448BCB5C" w:rsidR="0061653D" w:rsidRPr="0061653D" w:rsidRDefault="0061653D">
      <w:pPr>
        <w:pStyle w:val="FootnoteText"/>
        <w:rPr>
          <w:lang w:val="en-US"/>
        </w:rPr>
      </w:pPr>
      <w:r>
        <w:rPr>
          <w:rStyle w:val="FootnoteReference"/>
        </w:rPr>
        <w:footnoteRef/>
      </w:r>
      <w:r>
        <w:t xml:space="preserve"> </w:t>
      </w:r>
      <w:r w:rsidR="00EE2F42">
        <w:t>Responding to the p</w:t>
      </w:r>
      <w:r w:rsidR="00EE2F42" w:rsidRPr="00EE2F42">
        <w:t>ublic consultation on EMA Regulatory Science Strategy to 2025</w:t>
      </w:r>
      <w:r w:rsidR="00EE2F42">
        <w:t xml:space="preserve">, </w:t>
      </w:r>
      <w:r w:rsidR="008E0E83" w:rsidRPr="008E0E83">
        <w:t>EFPIA’s overall top three priorities from amongst EMA’s recommendations are</w:t>
      </w:r>
      <w:r w:rsidR="00E80A3B">
        <w:t>:</w:t>
      </w:r>
      <w:r w:rsidR="008E0E83" w:rsidRPr="008E0E83">
        <w:t xml:space="preserve"> </w:t>
      </w:r>
      <w:r w:rsidR="00FB2669" w:rsidRPr="00FB2669">
        <w:t>Foster innovation in clinical trials (Rec 2.2)</w:t>
      </w:r>
      <w:r w:rsidR="00E80A3B">
        <w:t>;</w:t>
      </w:r>
      <w:r w:rsidR="00FB2669">
        <w:t xml:space="preserve"> </w:t>
      </w:r>
      <w:r w:rsidR="00107E83" w:rsidRPr="00107E83">
        <w:t>Diversify and integrate the provision of regulatory advice along the development continuum (Rec. 1.7)</w:t>
      </w:r>
      <w:r w:rsidR="00E80A3B">
        <w:t>;</w:t>
      </w:r>
      <w:r w:rsidR="00326E32">
        <w:t xml:space="preserve"> </w:t>
      </w:r>
      <w:r w:rsidR="00E80A3B">
        <w:t xml:space="preserve">and </w:t>
      </w:r>
      <w:r w:rsidR="00326E32" w:rsidRPr="00326E32">
        <w:t>Promote use of high-quality real-world data (RWD) in decision making (Rec. 3.4)</w:t>
      </w:r>
      <w:r w:rsidR="00E80A3B">
        <w:t>.</w:t>
      </w:r>
    </w:p>
  </w:footnote>
  <w:footnote w:id="6">
    <w:p w14:paraId="31C543C6" w14:textId="77777777" w:rsidR="002F6732" w:rsidRPr="00924449" w:rsidRDefault="002F6732" w:rsidP="002F6732">
      <w:pPr>
        <w:pStyle w:val="FootnoteText"/>
        <w:rPr>
          <w:lang w:val="en-US"/>
        </w:rPr>
      </w:pPr>
      <w:r>
        <w:rPr>
          <w:rStyle w:val="FootnoteReference"/>
        </w:rPr>
        <w:footnoteRef/>
      </w:r>
      <w:r>
        <w:t xml:space="preserve"> </w:t>
      </w:r>
      <w:r w:rsidRPr="00924449">
        <w:t>Recent trend data demonstrate that EMA’s product review timelines are getting longer, and indeed, are notably longer compared with US (11).  Centre for Innovation in Regulatory Science; R&amp;D Briefing 70; New drug approvals in six major authorities 2009-2018: published 29 May 2019; http://www.cirsci.org/wpcontent/uploads/2019/05/CIRS-RD-Briefing-13052019_for-send-out.pdf [accessed 30 May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2B72" w14:textId="77777777" w:rsidR="00AB6331" w:rsidRDefault="00AB6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2DAE" w14:textId="77777777" w:rsidR="00AB6331" w:rsidRDefault="00AB63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431CC" w14:textId="77777777" w:rsidR="00AB6331" w:rsidRDefault="00AB6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star.png" style="width:9.8pt;height:9.15pt;visibility:visible;mso-wrap-style:square" o:bullet="t">
        <v:imagedata r:id="rId1" o:title="star"/>
      </v:shape>
    </w:pict>
  </w:numPicBullet>
  <w:numPicBullet w:numPicBulletId="1">
    <w:pict>
      <v:shape id="_x0000_i1036" type="#_x0000_t75" style="width:58.9pt;height:61.55pt" o:bullet="t">
        <v:imagedata r:id="rId2" o:title="star2"/>
      </v:shape>
    </w:pict>
  </w:numPicBullet>
  <w:numPicBullet w:numPicBulletId="2">
    <w:pict>
      <v:shape id="_x0000_i1037" type="#_x0000_t75" style="width:58.9pt;height:61.55pt" o:bullet="t">
        <v:imagedata r:id="rId3" o:title="star3"/>
      </v:shape>
    </w:pict>
  </w:numPicBullet>
  <w:numPicBullet w:numPicBulletId="3">
    <w:pict>
      <v:shape id="_x0000_i1038" type="#_x0000_t75" style="width:58.9pt;height:61.55pt" o:bullet="t">
        <v:imagedata r:id="rId4" o:title="star4"/>
      </v:shape>
    </w:pict>
  </w:numPicBullet>
  <w:numPicBullet w:numPicBulletId="4">
    <w:pict>
      <v:shape id="_x0000_i1039" type="#_x0000_t75" style="width:58.9pt;height:61.55pt" o:bullet="t">
        <v:imagedata r:id="rId5" o:title="star5"/>
      </v:shape>
    </w:pict>
  </w:numPicBullet>
  <w:abstractNum w:abstractNumId="0" w15:restartNumberingAfterBreak="0">
    <w:nsid w:val="8FBDB755"/>
    <w:multiLevelType w:val="hybridMultilevel"/>
    <w:tmpl w:val="BBC4FC0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713515"/>
    <w:multiLevelType w:val="hybridMultilevel"/>
    <w:tmpl w:val="CF1488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DE78AA"/>
    <w:multiLevelType w:val="hybridMultilevel"/>
    <w:tmpl w:val="7DF6C680"/>
    <w:lvl w:ilvl="0" w:tplc="F4DE70C4">
      <w:start w:val="1"/>
      <w:numFmt w:val="decimal"/>
      <w:lvlText w:val="%1."/>
      <w:lvlJc w:val="left"/>
      <w:rPr>
        <w:rFonts w:hint="default"/>
        <w:b/>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C5F85E"/>
    <w:multiLevelType w:val="hybridMultilevel"/>
    <w:tmpl w:val="74CC65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2148C6"/>
    <w:multiLevelType w:val="hybridMultilevel"/>
    <w:tmpl w:val="E05E13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FE2D07"/>
    <w:multiLevelType w:val="hybridMultilevel"/>
    <w:tmpl w:val="2E6C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95F05"/>
    <w:multiLevelType w:val="hybridMultilevel"/>
    <w:tmpl w:val="C53E5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02299"/>
    <w:multiLevelType w:val="hybridMultilevel"/>
    <w:tmpl w:val="F5B6FD7A"/>
    <w:lvl w:ilvl="0" w:tplc="A12696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235DD"/>
    <w:multiLevelType w:val="hybridMultilevel"/>
    <w:tmpl w:val="B0620DE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90D2089"/>
    <w:multiLevelType w:val="hybridMultilevel"/>
    <w:tmpl w:val="A05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63A62"/>
    <w:multiLevelType w:val="hybridMultilevel"/>
    <w:tmpl w:val="034CD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163A77"/>
    <w:multiLevelType w:val="hybridMultilevel"/>
    <w:tmpl w:val="ECE231D2"/>
    <w:lvl w:ilvl="0" w:tplc="040C000F">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41326A2A"/>
    <w:multiLevelType w:val="hybridMultilevel"/>
    <w:tmpl w:val="38047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F60D89"/>
    <w:multiLevelType w:val="hybridMultilevel"/>
    <w:tmpl w:val="5E30C53C"/>
    <w:lvl w:ilvl="0" w:tplc="228E1B9C">
      <w:start w:val="1"/>
      <w:numFmt w:val="decimal"/>
      <w:pStyle w:val="Heading1"/>
      <w:lvlText w:val="%1."/>
      <w:lvlJc w:val="left"/>
      <w:pPr>
        <w:ind w:left="2771" w:hanging="360"/>
      </w:pPr>
    </w:lvl>
    <w:lvl w:ilvl="1" w:tplc="080C0019" w:tentative="1">
      <w:start w:val="1"/>
      <w:numFmt w:val="lowerLetter"/>
      <w:lvlText w:val="%2."/>
      <w:lvlJc w:val="left"/>
      <w:pPr>
        <w:ind w:left="3709" w:hanging="360"/>
      </w:pPr>
    </w:lvl>
    <w:lvl w:ilvl="2" w:tplc="080C001B" w:tentative="1">
      <w:start w:val="1"/>
      <w:numFmt w:val="lowerRoman"/>
      <w:lvlText w:val="%3."/>
      <w:lvlJc w:val="right"/>
      <w:pPr>
        <w:ind w:left="4429" w:hanging="180"/>
      </w:pPr>
    </w:lvl>
    <w:lvl w:ilvl="3" w:tplc="080C000F" w:tentative="1">
      <w:start w:val="1"/>
      <w:numFmt w:val="decimal"/>
      <w:lvlText w:val="%4."/>
      <w:lvlJc w:val="left"/>
      <w:pPr>
        <w:ind w:left="5149" w:hanging="360"/>
      </w:pPr>
    </w:lvl>
    <w:lvl w:ilvl="4" w:tplc="080C0019" w:tentative="1">
      <w:start w:val="1"/>
      <w:numFmt w:val="lowerLetter"/>
      <w:lvlText w:val="%5."/>
      <w:lvlJc w:val="left"/>
      <w:pPr>
        <w:ind w:left="5869" w:hanging="360"/>
      </w:pPr>
    </w:lvl>
    <w:lvl w:ilvl="5" w:tplc="080C001B" w:tentative="1">
      <w:start w:val="1"/>
      <w:numFmt w:val="lowerRoman"/>
      <w:lvlText w:val="%6."/>
      <w:lvlJc w:val="right"/>
      <w:pPr>
        <w:ind w:left="6589" w:hanging="180"/>
      </w:pPr>
    </w:lvl>
    <w:lvl w:ilvl="6" w:tplc="080C000F" w:tentative="1">
      <w:start w:val="1"/>
      <w:numFmt w:val="decimal"/>
      <w:lvlText w:val="%7."/>
      <w:lvlJc w:val="left"/>
      <w:pPr>
        <w:ind w:left="7309" w:hanging="360"/>
      </w:pPr>
    </w:lvl>
    <w:lvl w:ilvl="7" w:tplc="080C0019" w:tentative="1">
      <w:start w:val="1"/>
      <w:numFmt w:val="lowerLetter"/>
      <w:lvlText w:val="%8."/>
      <w:lvlJc w:val="left"/>
      <w:pPr>
        <w:ind w:left="8029" w:hanging="360"/>
      </w:pPr>
    </w:lvl>
    <w:lvl w:ilvl="8" w:tplc="080C001B" w:tentative="1">
      <w:start w:val="1"/>
      <w:numFmt w:val="lowerRoman"/>
      <w:lvlText w:val="%9."/>
      <w:lvlJc w:val="right"/>
      <w:pPr>
        <w:ind w:left="8749" w:hanging="180"/>
      </w:pPr>
    </w:lvl>
  </w:abstractNum>
  <w:abstractNum w:abstractNumId="14" w15:restartNumberingAfterBreak="0">
    <w:nsid w:val="43F01476"/>
    <w:multiLevelType w:val="hybridMultilevel"/>
    <w:tmpl w:val="DA7675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9421A57"/>
    <w:multiLevelType w:val="hybridMultilevel"/>
    <w:tmpl w:val="5ADC1F8A"/>
    <w:lvl w:ilvl="0" w:tplc="CE1E1080">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3612E4"/>
    <w:multiLevelType w:val="hybridMultilevel"/>
    <w:tmpl w:val="CFA4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50F0E"/>
    <w:multiLevelType w:val="hybridMultilevel"/>
    <w:tmpl w:val="82A0C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9" w15:restartNumberingAfterBreak="0">
    <w:nsid w:val="51E8047A"/>
    <w:multiLevelType w:val="hybridMultilevel"/>
    <w:tmpl w:val="B1E64278"/>
    <w:lvl w:ilvl="0" w:tplc="CE1E1080">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2147F"/>
    <w:multiLevelType w:val="hybridMultilevel"/>
    <w:tmpl w:val="6CF8C0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A180990"/>
    <w:multiLevelType w:val="hybridMultilevel"/>
    <w:tmpl w:val="F36C08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1147990"/>
    <w:multiLevelType w:val="hybridMultilevel"/>
    <w:tmpl w:val="AA70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D005E"/>
    <w:multiLevelType w:val="hybridMultilevel"/>
    <w:tmpl w:val="612075B0"/>
    <w:lvl w:ilvl="0" w:tplc="7B529D98">
      <w:start w:val="10"/>
      <w:numFmt w:val="bullet"/>
      <w:lvlText w:val="-"/>
      <w:lvlJc w:val="left"/>
      <w:pPr>
        <w:ind w:left="360" w:hanging="360"/>
      </w:pPr>
      <w:rPr>
        <w:rFonts w:ascii="Verdana" w:eastAsia="Times New Roman" w:hAnsi="Verdana"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80F27D2"/>
    <w:multiLevelType w:val="hybridMultilevel"/>
    <w:tmpl w:val="08FE34D4"/>
    <w:lvl w:ilvl="0" w:tplc="6D32B8A4">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A4839"/>
    <w:multiLevelType w:val="hybridMultilevel"/>
    <w:tmpl w:val="98EB54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C603669"/>
    <w:multiLevelType w:val="multilevel"/>
    <w:tmpl w:val="76EE2BC4"/>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bullet"/>
      <w:lvlText w:val=""/>
      <w:lvlPicBulletId w:val="2"/>
      <w:lvlJc w:val="left"/>
      <w:pPr>
        <w:tabs>
          <w:tab w:val="num" w:pos="1080"/>
        </w:tabs>
        <w:ind w:left="1080" w:hanging="360"/>
      </w:pPr>
      <w:rPr>
        <w:rFonts w:ascii="Symbol" w:hAnsi="Symbol" w:hint="default"/>
        <w:color w:val="auto"/>
      </w:rPr>
    </w:lvl>
    <w:lvl w:ilvl="2">
      <w:start w:val="1"/>
      <w:numFmt w:val="bullet"/>
      <w:lvlText w:val=""/>
      <w:lvlPicBulletId w:val="3"/>
      <w:lvlJc w:val="left"/>
      <w:pPr>
        <w:tabs>
          <w:tab w:val="num" w:pos="1800"/>
        </w:tabs>
        <w:ind w:left="1800" w:hanging="360"/>
      </w:pPr>
      <w:rPr>
        <w:rFonts w:ascii="Symbol" w:hAnsi="Symbol" w:hint="default"/>
        <w:color w:val="auto"/>
      </w:rPr>
    </w:lvl>
    <w:lvl w:ilvl="3">
      <w:start w:val="1"/>
      <w:numFmt w:val="bullet"/>
      <w:lvlText w:val=""/>
      <w:lvlPicBulletId w:val="4"/>
      <w:lvlJc w:val="left"/>
      <w:pPr>
        <w:tabs>
          <w:tab w:val="num" w:pos="2520"/>
        </w:tabs>
        <w:ind w:left="2520" w:hanging="360"/>
      </w:pPr>
      <w:rPr>
        <w:rFonts w:ascii="Symbol" w:hAnsi="Symbol" w:hint="default"/>
        <w:color w:val="auto"/>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
      <w:lvlJc w:val="left"/>
      <w:pPr>
        <w:tabs>
          <w:tab w:val="num" w:pos="5400"/>
        </w:tabs>
        <w:ind w:left="5400" w:hanging="360"/>
      </w:pPr>
      <w:rPr>
        <w:rFonts w:ascii="Symbol" w:hAnsi="Symbol" w:hint="default"/>
      </w:rPr>
    </w:lvl>
    <w:lvl w:ilvl="8">
      <w:start w:val="1"/>
      <w:numFmt w:val="bullet"/>
      <w:lvlText w:val=""/>
      <w:lvlJc w:val="left"/>
      <w:pPr>
        <w:tabs>
          <w:tab w:val="num" w:pos="6120"/>
        </w:tabs>
        <w:ind w:left="6120" w:hanging="360"/>
      </w:pPr>
      <w:rPr>
        <w:rFonts w:ascii="Symbol" w:hAnsi="Symbol" w:hint="default"/>
      </w:rPr>
    </w:lvl>
  </w:abstractNum>
  <w:num w:numId="1">
    <w:abstractNumId w:val="2"/>
  </w:num>
  <w:num w:numId="2">
    <w:abstractNumId w:val="0"/>
  </w:num>
  <w:num w:numId="3">
    <w:abstractNumId w:val="20"/>
  </w:num>
  <w:num w:numId="4">
    <w:abstractNumId w:val="3"/>
  </w:num>
  <w:num w:numId="5">
    <w:abstractNumId w:val="25"/>
  </w:num>
  <w:num w:numId="6">
    <w:abstractNumId w:val="1"/>
  </w:num>
  <w:num w:numId="7">
    <w:abstractNumId w:val="13"/>
  </w:num>
  <w:num w:numId="8">
    <w:abstractNumId w:val="26"/>
  </w:num>
  <w:num w:numId="9">
    <w:abstractNumId w:val="12"/>
  </w:num>
  <w:num w:numId="10">
    <w:abstractNumId w:val="7"/>
  </w:num>
  <w:num w:numId="11">
    <w:abstractNumId w:val="6"/>
  </w:num>
  <w:num w:numId="12">
    <w:abstractNumId w:val="13"/>
  </w:num>
  <w:num w:numId="13">
    <w:abstractNumId w:val="13"/>
    <w:lvlOverride w:ilvl="0">
      <w:startOverride w:val="4"/>
    </w:lvlOverride>
  </w:num>
  <w:num w:numId="14">
    <w:abstractNumId w:val="9"/>
  </w:num>
  <w:num w:numId="15">
    <w:abstractNumId w:val="15"/>
  </w:num>
  <w:num w:numId="16">
    <w:abstractNumId w:val="19"/>
  </w:num>
  <w:num w:numId="17">
    <w:abstractNumId w:val="13"/>
    <w:lvlOverride w:ilvl="0">
      <w:startOverride w:val="5"/>
    </w:lvlOverride>
  </w:num>
  <w:num w:numId="18">
    <w:abstractNumId w:val="13"/>
    <w:lvlOverride w:ilvl="0">
      <w:startOverride w:val="5"/>
    </w:lvlOverride>
  </w:num>
  <w:num w:numId="19">
    <w:abstractNumId w:val="13"/>
    <w:lvlOverride w:ilvl="0">
      <w:startOverride w:val="5"/>
    </w:lvlOverride>
  </w:num>
  <w:num w:numId="20">
    <w:abstractNumId w:val="13"/>
    <w:lvlOverride w:ilvl="0">
      <w:startOverride w:val="1"/>
    </w:lvlOverride>
  </w:num>
  <w:num w:numId="21">
    <w:abstractNumId w:val="5"/>
  </w:num>
  <w:num w:numId="22">
    <w:abstractNumId w:val="18"/>
  </w:num>
  <w:num w:numId="23">
    <w:abstractNumId w:val="14"/>
  </w:num>
  <w:num w:numId="24">
    <w:abstractNumId w:val="16"/>
  </w:num>
  <w:num w:numId="25">
    <w:abstractNumId w:val="24"/>
  </w:num>
  <w:num w:numId="26">
    <w:abstractNumId w:val="10"/>
  </w:num>
  <w:num w:numId="27">
    <w:abstractNumId w:val="4"/>
  </w:num>
  <w:num w:numId="28">
    <w:abstractNumId w:val="8"/>
  </w:num>
  <w:num w:numId="29">
    <w:abstractNumId w:val="21"/>
  </w:num>
  <w:num w:numId="30">
    <w:abstractNumId w:val="23"/>
  </w:num>
  <w:num w:numId="31">
    <w:abstractNumId w:val="11"/>
  </w:num>
  <w:num w:numId="32">
    <w:abstractNumId w:val="1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78"/>
    <w:rsid w:val="00000BCD"/>
    <w:rsid w:val="00001925"/>
    <w:rsid w:val="00002D1A"/>
    <w:rsid w:val="00002F69"/>
    <w:rsid w:val="0000639E"/>
    <w:rsid w:val="0001418E"/>
    <w:rsid w:val="000253FB"/>
    <w:rsid w:val="00032AC0"/>
    <w:rsid w:val="00033AFE"/>
    <w:rsid w:val="00044B2C"/>
    <w:rsid w:val="00046A8F"/>
    <w:rsid w:val="000475A9"/>
    <w:rsid w:val="000525D7"/>
    <w:rsid w:val="00052ED8"/>
    <w:rsid w:val="00053A21"/>
    <w:rsid w:val="00053C89"/>
    <w:rsid w:val="00054744"/>
    <w:rsid w:val="00061BD7"/>
    <w:rsid w:val="000647BE"/>
    <w:rsid w:val="000678ED"/>
    <w:rsid w:val="00067ADE"/>
    <w:rsid w:val="00067C1A"/>
    <w:rsid w:val="00070062"/>
    <w:rsid w:val="00072144"/>
    <w:rsid w:val="00074232"/>
    <w:rsid w:val="00074A87"/>
    <w:rsid w:val="0008043C"/>
    <w:rsid w:val="00081E85"/>
    <w:rsid w:val="000830EA"/>
    <w:rsid w:val="000909EF"/>
    <w:rsid w:val="000A0C78"/>
    <w:rsid w:val="000A0DAE"/>
    <w:rsid w:val="000A7872"/>
    <w:rsid w:val="000A7995"/>
    <w:rsid w:val="000B15AF"/>
    <w:rsid w:val="000B1967"/>
    <w:rsid w:val="000C2B61"/>
    <w:rsid w:val="000D3169"/>
    <w:rsid w:val="000E41E2"/>
    <w:rsid w:val="000E5932"/>
    <w:rsid w:val="000F0982"/>
    <w:rsid w:val="000F4CE4"/>
    <w:rsid w:val="00102681"/>
    <w:rsid w:val="001029F6"/>
    <w:rsid w:val="0010436A"/>
    <w:rsid w:val="001050DB"/>
    <w:rsid w:val="00107E83"/>
    <w:rsid w:val="0011097A"/>
    <w:rsid w:val="0011221E"/>
    <w:rsid w:val="00113277"/>
    <w:rsid w:val="00113FE7"/>
    <w:rsid w:val="001144EF"/>
    <w:rsid w:val="00114B2F"/>
    <w:rsid w:val="0011612B"/>
    <w:rsid w:val="001163A5"/>
    <w:rsid w:val="00121A15"/>
    <w:rsid w:val="001268A7"/>
    <w:rsid w:val="001306A8"/>
    <w:rsid w:val="00130CCC"/>
    <w:rsid w:val="00141EC0"/>
    <w:rsid w:val="00144F8E"/>
    <w:rsid w:val="00151AF6"/>
    <w:rsid w:val="00153CCF"/>
    <w:rsid w:val="00154363"/>
    <w:rsid w:val="001566A7"/>
    <w:rsid w:val="0016376B"/>
    <w:rsid w:val="001656EA"/>
    <w:rsid w:val="00165CC7"/>
    <w:rsid w:val="00172E11"/>
    <w:rsid w:val="00174437"/>
    <w:rsid w:val="00186F35"/>
    <w:rsid w:val="0019754C"/>
    <w:rsid w:val="00197732"/>
    <w:rsid w:val="001A11C6"/>
    <w:rsid w:val="001A2B92"/>
    <w:rsid w:val="001A49A1"/>
    <w:rsid w:val="001A5DBB"/>
    <w:rsid w:val="001A7AD8"/>
    <w:rsid w:val="001B0F43"/>
    <w:rsid w:val="001B1310"/>
    <w:rsid w:val="001B3198"/>
    <w:rsid w:val="001B3413"/>
    <w:rsid w:val="001C1D69"/>
    <w:rsid w:val="001C35BC"/>
    <w:rsid w:val="001D2A28"/>
    <w:rsid w:val="001D7329"/>
    <w:rsid w:val="001E3A7A"/>
    <w:rsid w:val="001E5961"/>
    <w:rsid w:val="001E723F"/>
    <w:rsid w:val="001E7398"/>
    <w:rsid w:val="001F2F9E"/>
    <w:rsid w:val="00204718"/>
    <w:rsid w:val="00210AC5"/>
    <w:rsid w:val="002165BA"/>
    <w:rsid w:val="002167C2"/>
    <w:rsid w:val="00217B04"/>
    <w:rsid w:val="002232F2"/>
    <w:rsid w:val="00223678"/>
    <w:rsid w:val="00225990"/>
    <w:rsid w:val="00225E87"/>
    <w:rsid w:val="00232F65"/>
    <w:rsid w:val="00235B1F"/>
    <w:rsid w:val="0023677E"/>
    <w:rsid w:val="0023766E"/>
    <w:rsid w:val="00237976"/>
    <w:rsid w:val="00244529"/>
    <w:rsid w:val="00244AA8"/>
    <w:rsid w:val="00247D28"/>
    <w:rsid w:val="00250813"/>
    <w:rsid w:val="00251C04"/>
    <w:rsid w:val="00253531"/>
    <w:rsid w:val="00253CBF"/>
    <w:rsid w:val="00255793"/>
    <w:rsid w:val="0026266A"/>
    <w:rsid w:val="00262D3E"/>
    <w:rsid w:val="00265629"/>
    <w:rsid w:val="00266B4A"/>
    <w:rsid w:val="00272868"/>
    <w:rsid w:val="0027509E"/>
    <w:rsid w:val="002765BC"/>
    <w:rsid w:val="0029145D"/>
    <w:rsid w:val="00293AB3"/>
    <w:rsid w:val="00294BA5"/>
    <w:rsid w:val="002A1146"/>
    <w:rsid w:val="002B15F7"/>
    <w:rsid w:val="002B28E2"/>
    <w:rsid w:val="002B2C4B"/>
    <w:rsid w:val="002B7772"/>
    <w:rsid w:val="002B785D"/>
    <w:rsid w:val="002C3B0F"/>
    <w:rsid w:val="002C750D"/>
    <w:rsid w:val="002D06BF"/>
    <w:rsid w:val="002D3288"/>
    <w:rsid w:val="002D5168"/>
    <w:rsid w:val="002F2190"/>
    <w:rsid w:val="002F6732"/>
    <w:rsid w:val="002F6D0D"/>
    <w:rsid w:val="00304066"/>
    <w:rsid w:val="00304368"/>
    <w:rsid w:val="00311278"/>
    <w:rsid w:val="003220B9"/>
    <w:rsid w:val="00322C44"/>
    <w:rsid w:val="00325830"/>
    <w:rsid w:val="00326038"/>
    <w:rsid w:val="00326E32"/>
    <w:rsid w:val="00332E71"/>
    <w:rsid w:val="00332FD4"/>
    <w:rsid w:val="003429F6"/>
    <w:rsid w:val="00343B2C"/>
    <w:rsid w:val="00343D29"/>
    <w:rsid w:val="00345664"/>
    <w:rsid w:val="00351244"/>
    <w:rsid w:val="00351ABB"/>
    <w:rsid w:val="003566DE"/>
    <w:rsid w:val="0035748D"/>
    <w:rsid w:val="00357FE4"/>
    <w:rsid w:val="00361A7A"/>
    <w:rsid w:val="00365A9F"/>
    <w:rsid w:val="00366243"/>
    <w:rsid w:val="00366BB0"/>
    <w:rsid w:val="00376431"/>
    <w:rsid w:val="003766D3"/>
    <w:rsid w:val="00377806"/>
    <w:rsid w:val="003806BD"/>
    <w:rsid w:val="0039212C"/>
    <w:rsid w:val="003933AB"/>
    <w:rsid w:val="003958A0"/>
    <w:rsid w:val="003A5CF7"/>
    <w:rsid w:val="003A6757"/>
    <w:rsid w:val="003A76D8"/>
    <w:rsid w:val="003B027F"/>
    <w:rsid w:val="003B0925"/>
    <w:rsid w:val="003B1C1D"/>
    <w:rsid w:val="003B3DB2"/>
    <w:rsid w:val="003B43CB"/>
    <w:rsid w:val="003B578B"/>
    <w:rsid w:val="003C5454"/>
    <w:rsid w:val="003C7E5D"/>
    <w:rsid w:val="003D0936"/>
    <w:rsid w:val="003E48E4"/>
    <w:rsid w:val="003E545E"/>
    <w:rsid w:val="004011A1"/>
    <w:rsid w:val="00401FA6"/>
    <w:rsid w:val="0040233F"/>
    <w:rsid w:val="004024CC"/>
    <w:rsid w:val="004123F1"/>
    <w:rsid w:val="00414748"/>
    <w:rsid w:val="00414E97"/>
    <w:rsid w:val="00422127"/>
    <w:rsid w:val="00427B6C"/>
    <w:rsid w:val="00433E97"/>
    <w:rsid w:val="0045161F"/>
    <w:rsid w:val="0045617B"/>
    <w:rsid w:val="0046115E"/>
    <w:rsid w:val="004620FD"/>
    <w:rsid w:val="0046324C"/>
    <w:rsid w:val="004647E5"/>
    <w:rsid w:val="00474A1C"/>
    <w:rsid w:val="0048048F"/>
    <w:rsid w:val="004841D2"/>
    <w:rsid w:val="00486F8B"/>
    <w:rsid w:val="00490040"/>
    <w:rsid w:val="00490F75"/>
    <w:rsid w:val="0049456D"/>
    <w:rsid w:val="00494F9A"/>
    <w:rsid w:val="0049792A"/>
    <w:rsid w:val="00497FEC"/>
    <w:rsid w:val="004A0635"/>
    <w:rsid w:val="004A33AC"/>
    <w:rsid w:val="004B0111"/>
    <w:rsid w:val="004B0B2B"/>
    <w:rsid w:val="004B0C81"/>
    <w:rsid w:val="004B28D0"/>
    <w:rsid w:val="004C008F"/>
    <w:rsid w:val="004C2110"/>
    <w:rsid w:val="004D1BEE"/>
    <w:rsid w:val="004D2556"/>
    <w:rsid w:val="004D5CA2"/>
    <w:rsid w:val="004E59DC"/>
    <w:rsid w:val="004E6656"/>
    <w:rsid w:val="004E6A9E"/>
    <w:rsid w:val="004F0419"/>
    <w:rsid w:val="004F05A2"/>
    <w:rsid w:val="004F258F"/>
    <w:rsid w:val="00503B39"/>
    <w:rsid w:val="00503B66"/>
    <w:rsid w:val="005044A1"/>
    <w:rsid w:val="005079BE"/>
    <w:rsid w:val="0051009D"/>
    <w:rsid w:val="005165EF"/>
    <w:rsid w:val="00516DF0"/>
    <w:rsid w:val="00517B39"/>
    <w:rsid w:val="005268F0"/>
    <w:rsid w:val="0053200B"/>
    <w:rsid w:val="005368D1"/>
    <w:rsid w:val="00537739"/>
    <w:rsid w:val="00537858"/>
    <w:rsid w:val="00542B56"/>
    <w:rsid w:val="005450DB"/>
    <w:rsid w:val="00545882"/>
    <w:rsid w:val="0055050D"/>
    <w:rsid w:val="005510D5"/>
    <w:rsid w:val="00554C09"/>
    <w:rsid w:val="00556C02"/>
    <w:rsid w:val="00560C86"/>
    <w:rsid w:val="00563413"/>
    <w:rsid w:val="005636C5"/>
    <w:rsid w:val="00574585"/>
    <w:rsid w:val="005756BE"/>
    <w:rsid w:val="00575A5A"/>
    <w:rsid w:val="00575DCB"/>
    <w:rsid w:val="00577C3B"/>
    <w:rsid w:val="00580DCB"/>
    <w:rsid w:val="00580FEA"/>
    <w:rsid w:val="00581146"/>
    <w:rsid w:val="005825C7"/>
    <w:rsid w:val="005831F9"/>
    <w:rsid w:val="005845F5"/>
    <w:rsid w:val="00585EC8"/>
    <w:rsid w:val="00586249"/>
    <w:rsid w:val="005872FF"/>
    <w:rsid w:val="00591B20"/>
    <w:rsid w:val="00591C3D"/>
    <w:rsid w:val="005A4914"/>
    <w:rsid w:val="005A603A"/>
    <w:rsid w:val="005B1CF8"/>
    <w:rsid w:val="005B67EA"/>
    <w:rsid w:val="005B7C16"/>
    <w:rsid w:val="005C0280"/>
    <w:rsid w:val="005D420C"/>
    <w:rsid w:val="005E2960"/>
    <w:rsid w:val="005E7E6D"/>
    <w:rsid w:val="005F02BF"/>
    <w:rsid w:val="005F509C"/>
    <w:rsid w:val="005F74AC"/>
    <w:rsid w:val="005F7F7D"/>
    <w:rsid w:val="0060631D"/>
    <w:rsid w:val="00606C15"/>
    <w:rsid w:val="00607F33"/>
    <w:rsid w:val="00610C92"/>
    <w:rsid w:val="00613E01"/>
    <w:rsid w:val="0061593F"/>
    <w:rsid w:val="0061653D"/>
    <w:rsid w:val="006167FD"/>
    <w:rsid w:val="0062606F"/>
    <w:rsid w:val="006302D5"/>
    <w:rsid w:val="0063436C"/>
    <w:rsid w:val="00637B42"/>
    <w:rsid w:val="00640FD8"/>
    <w:rsid w:val="00643C2A"/>
    <w:rsid w:val="006444EF"/>
    <w:rsid w:val="006447AE"/>
    <w:rsid w:val="00644C57"/>
    <w:rsid w:val="00646606"/>
    <w:rsid w:val="006531C9"/>
    <w:rsid w:val="00653962"/>
    <w:rsid w:val="006550EB"/>
    <w:rsid w:val="006634F1"/>
    <w:rsid w:val="0066719B"/>
    <w:rsid w:val="0067457D"/>
    <w:rsid w:val="00674853"/>
    <w:rsid w:val="006769B8"/>
    <w:rsid w:val="00677273"/>
    <w:rsid w:val="00683A7A"/>
    <w:rsid w:val="006842A0"/>
    <w:rsid w:val="006846B9"/>
    <w:rsid w:val="00697096"/>
    <w:rsid w:val="006A1459"/>
    <w:rsid w:val="006A1A0B"/>
    <w:rsid w:val="006A4947"/>
    <w:rsid w:val="006A5608"/>
    <w:rsid w:val="006B11B1"/>
    <w:rsid w:val="006B1E25"/>
    <w:rsid w:val="006B2AAF"/>
    <w:rsid w:val="006B3863"/>
    <w:rsid w:val="006B3A79"/>
    <w:rsid w:val="006B7ED6"/>
    <w:rsid w:val="006C3BC0"/>
    <w:rsid w:val="006C5FA6"/>
    <w:rsid w:val="006D3D54"/>
    <w:rsid w:val="006E6446"/>
    <w:rsid w:val="006F0626"/>
    <w:rsid w:val="006F1F0C"/>
    <w:rsid w:val="006F2E4F"/>
    <w:rsid w:val="006F7A5E"/>
    <w:rsid w:val="006F7CEE"/>
    <w:rsid w:val="00706219"/>
    <w:rsid w:val="00711098"/>
    <w:rsid w:val="007215BD"/>
    <w:rsid w:val="0073478B"/>
    <w:rsid w:val="00734D64"/>
    <w:rsid w:val="007371AF"/>
    <w:rsid w:val="00740B42"/>
    <w:rsid w:val="00740B6A"/>
    <w:rsid w:val="00740CF4"/>
    <w:rsid w:val="007472D2"/>
    <w:rsid w:val="00750CE0"/>
    <w:rsid w:val="00752DD9"/>
    <w:rsid w:val="007561A0"/>
    <w:rsid w:val="007607C1"/>
    <w:rsid w:val="00760F73"/>
    <w:rsid w:val="00763C78"/>
    <w:rsid w:val="00764584"/>
    <w:rsid w:val="00766218"/>
    <w:rsid w:val="00766A6B"/>
    <w:rsid w:val="0078135E"/>
    <w:rsid w:val="0078488A"/>
    <w:rsid w:val="00784C1A"/>
    <w:rsid w:val="007861FA"/>
    <w:rsid w:val="0078683F"/>
    <w:rsid w:val="00790DEE"/>
    <w:rsid w:val="00797D12"/>
    <w:rsid w:val="007B2149"/>
    <w:rsid w:val="007B2E99"/>
    <w:rsid w:val="007B35AC"/>
    <w:rsid w:val="007B5200"/>
    <w:rsid w:val="007B5ACA"/>
    <w:rsid w:val="007B5BEA"/>
    <w:rsid w:val="007C1CA3"/>
    <w:rsid w:val="007C598C"/>
    <w:rsid w:val="007C7B95"/>
    <w:rsid w:val="007D3A72"/>
    <w:rsid w:val="007D45AF"/>
    <w:rsid w:val="007D4C31"/>
    <w:rsid w:val="007D65C1"/>
    <w:rsid w:val="007E1791"/>
    <w:rsid w:val="007E20D2"/>
    <w:rsid w:val="007E3BA2"/>
    <w:rsid w:val="007E3DC8"/>
    <w:rsid w:val="007F308E"/>
    <w:rsid w:val="007F3286"/>
    <w:rsid w:val="007F3433"/>
    <w:rsid w:val="007F3E31"/>
    <w:rsid w:val="007F4220"/>
    <w:rsid w:val="007F7847"/>
    <w:rsid w:val="00817F60"/>
    <w:rsid w:val="00824112"/>
    <w:rsid w:val="008312AD"/>
    <w:rsid w:val="00831A9C"/>
    <w:rsid w:val="008379AB"/>
    <w:rsid w:val="008464F6"/>
    <w:rsid w:val="008479A5"/>
    <w:rsid w:val="008557AC"/>
    <w:rsid w:val="00860B1E"/>
    <w:rsid w:val="00861210"/>
    <w:rsid w:val="008617B1"/>
    <w:rsid w:val="00861EBB"/>
    <w:rsid w:val="0086536F"/>
    <w:rsid w:val="00872CA7"/>
    <w:rsid w:val="00873B2E"/>
    <w:rsid w:val="0088214F"/>
    <w:rsid w:val="00883CAA"/>
    <w:rsid w:val="00886838"/>
    <w:rsid w:val="00886B43"/>
    <w:rsid w:val="00891B4B"/>
    <w:rsid w:val="00893665"/>
    <w:rsid w:val="0089372D"/>
    <w:rsid w:val="008972E3"/>
    <w:rsid w:val="008A05B1"/>
    <w:rsid w:val="008A45DD"/>
    <w:rsid w:val="008B5E21"/>
    <w:rsid w:val="008C2C9E"/>
    <w:rsid w:val="008D30DC"/>
    <w:rsid w:val="008D4627"/>
    <w:rsid w:val="008D59C2"/>
    <w:rsid w:val="008E0E83"/>
    <w:rsid w:val="008E1425"/>
    <w:rsid w:val="008E3CD2"/>
    <w:rsid w:val="008E413B"/>
    <w:rsid w:val="008F0AD6"/>
    <w:rsid w:val="00902A81"/>
    <w:rsid w:val="00903366"/>
    <w:rsid w:val="009036C4"/>
    <w:rsid w:val="00911C49"/>
    <w:rsid w:val="00917269"/>
    <w:rsid w:val="00924449"/>
    <w:rsid w:val="00924AEB"/>
    <w:rsid w:val="00930837"/>
    <w:rsid w:val="009343EF"/>
    <w:rsid w:val="00935F0F"/>
    <w:rsid w:val="009362A3"/>
    <w:rsid w:val="00937299"/>
    <w:rsid w:val="00937414"/>
    <w:rsid w:val="00941D90"/>
    <w:rsid w:val="00946570"/>
    <w:rsid w:val="0095175F"/>
    <w:rsid w:val="00952425"/>
    <w:rsid w:val="009538D1"/>
    <w:rsid w:val="00955AC2"/>
    <w:rsid w:val="009730AD"/>
    <w:rsid w:val="00973359"/>
    <w:rsid w:val="00981395"/>
    <w:rsid w:val="00986A8A"/>
    <w:rsid w:val="00987AAA"/>
    <w:rsid w:val="00987C05"/>
    <w:rsid w:val="00991DDE"/>
    <w:rsid w:val="00995AD9"/>
    <w:rsid w:val="009A1651"/>
    <w:rsid w:val="009A344D"/>
    <w:rsid w:val="009A58A0"/>
    <w:rsid w:val="009A6201"/>
    <w:rsid w:val="009A682D"/>
    <w:rsid w:val="009A6850"/>
    <w:rsid w:val="009A7AC1"/>
    <w:rsid w:val="009B644E"/>
    <w:rsid w:val="009C139D"/>
    <w:rsid w:val="009C168B"/>
    <w:rsid w:val="009C190C"/>
    <w:rsid w:val="009C79B2"/>
    <w:rsid w:val="009D6584"/>
    <w:rsid w:val="009D72AB"/>
    <w:rsid w:val="009E31B7"/>
    <w:rsid w:val="009E3C64"/>
    <w:rsid w:val="009F1BE5"/>
    <w:rsid w:val="009F4F3E"/>
    <w:rsid w:val="009F5EA9"/>
    <w:rsid w:val="00A018E9"/>
    <w:rsid w:val="00A0208D"/>
    <w:rsid w:val="00A051E4"/>
    <w:rsid w:val="00A126F2"/>
    <w:rsid w:val="00A13725"/>
    <w:rsid w:val="00A15AC5"/>
    <w:rsid w:val="00A17217"/>
    <w:rsid w:val="00A2150F"/>
    <w:rsid w:val="00A23F18"/>
    <w:rsid w:val="00A267C7"/>
    <w:rsid w:val="00A2796C"/>
    <w:rsid w:val="00A4029E"/>
    <w:rsid w:val="00A4118E"/>
    <w:rsid w:val="00A415AB"/>
    <w:rsid w:val="00A44094"/>
    <w:rsid w:val="00A53E8D"/>
    <w:rsid w:val="00A55564"/>
    <w:rsid w:val="00A75116"/>
    <w:rsid w:val="00A75D3B"/>
    <w:rsid w:val="00A77BF5"/>
    <w:rsid w:val="00A77C3C"/>
    <w:rsid w:val="00A817C4"/>
    <w:rsid w:val="00A824FB"/>
    <w:rsid w:val="00A83241"/>
    <w:rsid w:val="00A8459C"/>
    <w:rsid w:val="00A908DB"/>
    <w:rsid w:val="00A957AC"/>
    <w:rsid w:val="00A976B1"/>
    <w:rsid w:val="00AA00CA"/>
    <w:rsid w:val="00AA0E56"/>
    <w:rsid w:val="00AA351D"/>
    <w:rsid w:val="00AA5792"/>
    <w:rsid w:val="00AB56D1"/>
    <w:rsid w:val="00AB6331"/>
    <w:rsid w:val="00AB7AE1"/>
    <w:rsid w:val="00AC2E66"/>
    <w:rsid w:val="00AC4AA7"/>
    <w:rsid w:val="00AC7BDD"/>
    <w:rsid w:val="00AD1298"/>
    <w:rsid w:val="00AD200A"/>
    <w:rsid w:val="00AD602B"/>
    <w:rsid w:val="00AD653E"/>
    <w:rsid w:val="00AD6A20"/>
    <w:rsid w:val="00AD7EFA"/>
    <w:rsid w:val="00AD7F81"/>
    <w:rsid w:val="00AE5352"/>
    <w:rsid w:val="00AE65F0"/>
    <w:rsid w:val="00AF0480"/>
    <w:rsid w:val="00AF13FA"/>
    <w:rsid w:val="00AF386A"/>
    <w:rsid w:val="00AF6CAB"/>
    <w:rsid w:val="00AF7CDC"/>
    <w:rsid w:val="00B02C04"/>
    <w:rsid w:val="00B04751"/>
    <w:rsid w:val="00B0680E"/>
    <w:rsid w:val="00B10E46"/>
    <w:rsid w:val="00B121F3"/>
    <w:rsid w:val="00B129D4"/>
    <w:rsid w:val="00B15503"/>
    <w:rsid w:val="00B27F9D"/>
    <w:rsid w:val="00B30108"/>
    <w:rsid w:val="00B34215"/>
    <w:rsid w:val="00B37CB7"/>
    <w:rsid w:val="00B4210F"/>
    <w:rsid w:val="00B44F96"/>
    <w:rsid w:val="00B46CA0"/>
    <w:rsid w:val="00B53B11"/>
    <w:rsid w:val="00B55B50"/>
    <w:rsid w:val="00B57928"/>
    <w:rsid w:val="00B65472"/>
    <w:rsid w:val="00B81408"/>
    <w:rsid w:val="00B822BD"/>
    <w:rsid w:val="00B920D7"/>
    <w:rsid w:val="00B932DB"/>
    <w:rsid w:val="00B937D0"/>
    <w:rsid w:val="00BA3156"/>
    <w:rsid w:val="00BA70D3"/>
    <w:rsid w:val="00BA7D89"/>
    <w:rsid w:val="00BB2E41"/>
    <w:rsid w:val="00BB376C"/>
    <w:rsid w:val="00BC12BC"/>
    <w:rsid w:val="00BC1400"/>
    <w:rsid w:val="00BC1C0B"/>
    <w:rsid w:val="00BC2F5F"/>
    <w:rsid w:val="00BC58A3"/>
    <w:rsid w:val="00BC6CBF"/>
    <w:rsid w:val="00BC7626"/>
    <w:rsid w:val="00BD17E8"/>
    <w:rsid w:val="00BD608E"/>
    <w:rsid w:val="00BF0716"/>
    <w:rsid w:val="00C02BB0"/>
    <w:rsid w:val="00C11912"/>
    <w:rsid w:val="00C13DED"/>
    <w:rsid w:val="00C14B56"/>
    <w:rsid w:val="00C16A7E"/>
    <w:rsid w:val="00C16FDC"/>
    <w:rsid w:val="00C210FF"/>
    <w:rsid w:val="00C25D14"/>
    <w:rsid w:val="00C2621F"/>
    <w:rsid w:val="00C340D9"/>
    <w:rsid w:val="00C3417E"/>
    <w:rsid w:val="00C35691"/>
    <w:rsid w:val="00C37163"/>
    <w:rsid w:val="00C4528B"/>
    <w:rsid w:val="00C4739B"/>
    <w:rsid w:val="00C5003F"/>
    <w:rsid w:val="00C53893"/>
    <w:rsid w:val="00C575B1"/>
    <w:rsid w:val="00C836FC"/>
    <w:rsid w:val="00C87873"/>
    <w:rsid w:val="00C87A77"/>
    <w:rsid w:val="00C902C6"/>
    <w:rsid w:val="00C95E57"/>
    <w:rsid w:val="00C9715C"/>
    <w:rsid w:val="00CA00DC"/>
    <w:rsid w:val="00CA1279"/>
    <w:rsid w:val="00CA4665"/>
    <w:rsid w:val="00CB3D04"/>
    <w:rsid w:val="00CB7E04"/>
    <w:rsid w:val="00CC079A"/>
    <w:rsid w:val="00CC28CD"/>
    <w:rsid w:val="00CD5998"/>
    <w:rsid w:val="00CE591C"/>
    <w:rsid w:val="00CE5F05"/>
    <w:rsid w:val="00CF513C"/>
    <w:rsid w:val="00CF5B2B"/>
    <w:rsid w:val="00D01624"/>
    <w:rsid w:val="00D07EB9"/>
    <w:rsid w:val="00D15BEC"/>
    <w:rsid w:val="00D2237F"/>
    <w:rsid w:val="00D379F5"/>
    <w:rsid w:val="00D41A2C"/>
    <w:rsid w:val="00D43603"/>
    <w:rsid w:val="00D4400C"/>
    <w:rsid w:val="00D44118"/>
    <w:rsid w:val="00D443D9"/>
    <w:rsid w:val="00D47870"/>
    <w:rsid w:val="00D53C14"/>
    <w:rsid w:val="00D55F26"/>
    <w:rsid w:val="00D6037B"/>
    <w:rsid w:val="00D6319D"/>
    <w:rsid w:val="00D6372D"/>
    <w:rsid w:val="00D77094"/>
    <w:rsid w:val="00D774B3"/>
    <w:rsid w:val="00D90FE0"/>
    <w:rsid w:val="00D911A3"/>
    <w:rsid w:val="00DA7CDA"/>
    <w:rsid w:val="00DB011F"/>
    <w:rsid w:val="00DB35D5"/>
    <w:rsid w:val="00DB6DBA"/>
    <w:rsid w:val="00DC5CAF"/>
    <w:rsid w:val="00DD10E9"/>
    <w:rsid w:val="00DD1CFE"/>
    <w:rsid w:val="00DD33D4"/>
    <w:rsid w:val="00DD6D52"/>
    <w:rsid w:val="00DD6DA6"/>
    <w:rsid w:val="00DE7D12"/>
    <w:rsid w:val="00DF0253"/>
    <w:rsid w:val="00DF02D1"/>
    <w:rsid w:val="00DF05E7"/>
    <w:rsid w:val="00DF2E48"/>
    <w:rsid w:val="00DF39D9"/>
    <w:rsid w:val="00E020FE"/>
    <w:rsid w:val="00E04F39"/>
    <w:rsid w:val="00E06770"/>
    <w:rsid w:val="00E10858"/>
    <w:rsid w:val="00E11028"/>
    <w:rsid w:val="00E11287"/>
    <w:rsid w:val="00E13E93"/>
    <w:rsid w:val="00E14C50"/>
    <w:rsid w:val="00E14EDE"/>
    <w:rsid w:val="00E1724D"/>
    <w:rsid w:val="00E1774A"/>
    <w:rsid w:val="00E17C12"/>
    <w:rsid w:val="00E23765"/>
    <w:rsid w:val="00E26AC8"/>
    <w:rsid w:val="00E27CB5"/>
    <w:rsid w:val="00E30E02"/>
    <w:rsid w:val="00E32658"/>
    <w:rsid w:val="00E335DD"/>
    <w:rsid w:val="00E35D5D"/>
    <w:rsid w:val="00E43F2B"/>
    <w:rsid w:val="00E54A7C"/>
    <w:rsid w:val="00E56165"/>
    <w:rsid w:val="00E61DF6"/>
    <w:rsid w:val="00E62840"/>
    <w:rsid w:val="00E65900"/>
    <w:rsid w:val="00E7055C"/>
    <w:rsid w:val="00E728DF"/>
    <w:rsid w:val="00E77B5F"/>
    <w:rsid w:val="00E80A3B"/>
    <w:rsid w:val="00E85675"/>
    <w:rsid w:val="00E87B16"/>
    <w:rsid w:val="00E93861"/>
    <w:rsid w:val="00E93A9A"/>
    <w:rsid w:val="00EA2E39"/>
    <w:rsid w:val="00EA39D8"/>
    <w:rsid w:val="00EA4477"/>
    <w:rsid w:val="00EA4B07"/>
    <w:rsid w:val="00EA7983"/>
    <w:rsid w:val="00EB13F3"/>
    <w:rsid w:val="00EB3761"/>
    <w:rsid w:val="00EB3879"/>
    <w:rsid w:val="00EC0936"/>
    <w:rsid w:val="00EC321F"/>
    <w:rsid w:val="00EC3870"/>
    <w:rsid w:val="00EC6FA1"/>
    <w:rsid w:val="00ED4660"/>
    <w:rsid w:val="00ED54FC"/>
    <w:rsid w:val="00ED652D"/>
    <w:rsid w:val="00EE2D63"/>
    <w:rsid w:val="00EE2F42"/>
    <w:rsid w:val="00EE4D48"/>
    <w:rsid w:val="00EE632C"/>
    <w:rsid w:val="00EE6E94"/>
    <w:rsid w:val="00EF3635"/>
    <w:rsid w:val="00EF4F81"/>
    <w:rsid w:val="00EF7FC5"/>
    <w:rsid w:val="00F0642D"/>
    <w:rsid w:val="00F118DE"/>
    <w:rsid w:val="00F11C2A"/>
    <w:rsid w:val="00F137D2"/>
    <w:rsid w:val="00F13B5D"/>
    <w:rsid w:val="00F14831"/>
    <w:rsid w:val="00F14873"/>
    <w:rsid w:val="00F148B4"/>
    <w:rsid w:val="00F16B10"/>
    <w:rsid w:val="00F214E1"/>
    <w:rsid w:val="00F2578D"/>
    <w:rsid w:val="00F26370"/>
    <w:rsid w:val="00F26415"/>
    <w:rsid w:val="00F325A4"/>
    <w:rsid w:val="00F32A75"/>
    <w:rsid w:val="00F332DD"/>
    <w:rsid w:val="00F35DBA"/>
    <w:rsid w:val="00F462CE"/>
    <w:rsid w:val="00F50149"/>
    <w:rsid w:val="00F52042"/>
    <w:rsid w:val="00F56989"/>
    <w:rsid w:val="00F63632"/>
    <w:rsid w:val="00F725AE"/>
    <w:rsid w:val="00F75D61"/>
    <w:rsid w:val="00F76B7F"/>
    <w:rsid w:val="00F80DE8"/>
    <w:rsid w:val="00F81490"/>
    <w:rsid w:val="00F840AD"/>
    <w:rsid w:val="00F86B44"/>
    <w:rsid w:val="00F8771F"/>
    <w:rsid w:val="00F937B0"/>
    <w:rsid w:val="00F94422"/>
    <w:rsid w:val="00FA000A"/>
    <w:rsid w:val="00FA5525"/>
    <w:rsid w:val="00FA5EE6"/>
    <w:rsid w:val="00FA74D1"/>
    <w:rsid w:val="00FB2669"/>
    <w:rsid w:val="00FB6648"/>
    <w:rsid w:val="00FC5334"/>
    <w:rsid w:val="00FD16E9"/>
    <w:rsid w:val="00FD3BF2"/>
    <w:rsid w:val="00FD66A1"/>
    <w:rsid w:val="00FE5D73"/>
    <w:rsid w:val="00FE6542"/>
    <w:rsid w:val="00FF3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B22E16"/>
  <w15:docId w15:val="{2416F853-1633-7A48-B862-38D79F11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E8D"/>
    <w:pPr>
      <w:spacing w:after="0" w:line="240" w:lineRule="auto"/>
      <w:jc w:val="both"/>
    </w:pPr>
    <w:rPr>
      <w:rFonts w:ascii="Arial" w:eastAsia="Times New Roman" w:hAnsi="Arial" w:cs="Times New Roman"/>
      <w:color w:val="000000"/>
      <w:sz w:val="20"/>
      <w:szCs w:val="24"/>
    </w:rPr>
  </w:style>
  <w:style w:type="paragraph" w:styleId="Heading1">
    <w:name w:val="heading 1"/>
    <w:aliases w:val="Title 1 - Green"/>
    <w:basedOn w:val="Normal"/>
    <w:next w:val="Normal"/>
    <w:link w:val="Heading1Char"/>
    <w:uiPriority w:val="9"/>
    <w:qFormat/>
    <w:rsid w:val="00E26AC8"/>
    <w:pPr>
      <w:keepNext/>
      <w:keepLines/>
      <w:numPr>
        <w:numId w:val="7"/>
      </w:numPr>
      <w:spacing w:before="240"/>
      <w:ind w:left="720"/>
      <w:outlineLvl w:val="0"/>
    </w:pPr>
    <w:rPr>
      <w:rFonts w:asciiTheme="minorHAnsi" w:eastAsiaTheme="majorEastAsia" w:hAnsiTheme="minorHAnsi" w:cstheme="majorBidi"/>
      <w:b/>
      <w:color w:val="31808B"/>
      <w:sz w:val="32"/>
      <w:szCs w:val="32"/>
    </w:rPr>
  </w:style>
  <w:style w:type="paragraph" w:styleId="Heading2">
    <w:name w:val="heading 2"/>
    <w:basedOn w:val="Normal"/>
    <w:next w:val="Normal"/>
    <w:link w:val="Heading2Char"/>
    <w:uiPriority w:val="9"/>
    <w:unhideWhenUsed/>
    <w:qFormat/>
    <w:rsid w:val="009F1BE5"/>
    <w:pPr>
      <w:keepNext/>
      <w:keepLines/>
      <w:spacing w:after="120"/>
      <w:outlineLvl w:val="1"/>
    </w:pPr>
    <w:rPr>
      <w:rFonts w:asciiTheme="minorHAnsi" w:eastAsiaTheme="majorEastAsia" w:hAnsiTheme="minorHAnsi" w:cstheme="majorBidi"/>
      <w:b/>
      <w:color w:val="808080"/>
      <w:sz w:val="22"/>
      <w:szCs w:val="26"/>
    </w:rPr>
  </w:style>
  <w:style w:type="paragraph" w:styleId="Heading4">
    <w:name w:val="heading 4"/>
    <w:basedOn w:val="Normal"/>
    <w:next w:val="Normal"/>
    <w:link w:val="Heading4Char"/>
    <w:uiPriority w:val="9"/>
    <w:unhideWhenUsed/>
    <w:qFormat/>
    <w:rsid w:val="000A0C78"/>
    <w:pPr>
      <w:keepNext/>
      <w:keepLines/>
      <w:spacing w:before="200" w:line="276" w:lineRule="auto"/>
      <w:jc w:val="left"/>
      <w:outlineLvl w:val="3"/>
    </w:pPr>
    <w:rPr>
      <w:rFonts w:asciiTheme="majorHAnsi" w:eastAsiaTheme="majorEastAsia" w:hAnsiTheme="majorHAnsi" w:cstheme="majorBidi"/>
      <w:b/>
      <w:bCs/>
      <w:i/>
      <w:iCs/>
      <w:color w:val="4F81BD" w:themeColor="accent1"/>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44A1"/>
    <w:pPr>
      <w:tabs>
        <w:tab w:val="center" w:pos="4680"/>
        <w:tab w:val="right" w:pos="9360"/>
      </w:tabs>
    </w:pPr>
  </w:style>
  <w:style w:type="character" w:customStyle="1" w:styleId="HeaderChar">
    <w:name w:val="Header Char"/>
    <w:basedOn w:val="DefaultParagraphFont"/>
    <w:link w:val="Header"/>
    <w:rsid w:val="005044A1"/>
  </w:style>
  <w:style w:type="paragraph" w:styleId="Footer">
    <w:name w:val="footer"/>
    <w:basedOn w:val="Normal"/>
    <w:link w:val="FooterChar"/>
    <w:uiPriority w:val="99"/>
    <w:unhideWhenUsed/>
    <w:rsid w:val="005044A1"/>
    <w:pPr>
      <w:tabs>
        <w:tab w:val="center" w:pos="4680"/>
        <w:tab w:val="right" w:pos="9360"/>
      </w:tabs>
    </w:pPr>
  </w:style>
  <w:style w:type="character" w:customStyle="1" w:styleId="FooterChar">
    <w:name w:val="Footer Char"/>
    <w:basedOn w:val="DefaultParagraphFont"/>
    <w:link w:val="Footer"/>
    <w:uiPriority w:val="99"/>
    <w:rsid w:val="005044A1"/>
  </w:style>
  <w:style w:type="paragraph" w:styleId="BalloonText">
    <w:name w:val="Balloon Text"/>
    <w:basedOn w:val="Normal"/>
    <w:link w:val="BalloonTextChar"/>
    <w:uiPriority w:val="99"/>
    <w:semiHidden/>
    <w:unhideWhenUsed/>
    <w:rsid w:val="005044A1"/>
    <w:rPr>
      <w:rFonts w:ascii="Tahoma" w:hAnsi="Tahoma" w:cs="Tahoma"/>
      <w:sz w:val="16"/>
      <w:szCs w:val="16"/>
    </w:rPr>
  </w:style>
  <w:style w:type="character" w:customStyle="1" w:styleId="BalloonTextChar">
    <w:name w:val="Balloon Text Char"/>
    <w:basedOn w:val="DefaultParagraphFont"/>
    <w:link w:val="BalloonText"/>
    <w:uiPriority w:val="99"/>
    <w:semiHidden/>
    <w:rsid w:val="005044A1"/>
    <w:rPr>
      <w:rFonts w:ascii="Tahoma" w:hAnsi="Tahoma" w:cs="Tahoma"/>
      <w:sz w:val="16"/>
      <w:szCs w:val="16"/>
    </w:rPr>
  </w:style>
  <w:style w:type="paragraph" w:customStyle="1" w:styleId="Default">
    <w:name w:val="Default"/>
    <w:rsid w:val="005044A1"/>
    <w:pPr>
      <w:autoSpaceDE w:val="0"/>
      <w:autoSpaceDN w:val="0"/>
      <w:adjustRightInd w:val="0"/>
      <w:spacing w:after="0" w:line="240" w:lineRule="auto"/>
    </w:pPr>
    <w:rPr>
      <w:rFonts w:ascii="Agfa Rotis Sans Serif" w:hAnsi="Agfa Rotis Sans Serif" w:cs="Agfa Rotis Sans Serif"/>
      <w:color w:val="000000"/>
      <w:sz w:val="24"/>
      <w:szCs w:val="24"/>
    </w:rPr>
  </w:style>
  <w:style w:type="character" w:customStyle="1" w:styleId="A0">
    <w:name w:val="A0"/>
    <w:uiPriority w:val="99"/>
    <w:rsid w:val="005044A1"/>
    <w:rPr>
      <w:rFonts w:ascii="Playbill" w:hAnsi="Playbill" w:cs="Playbill"/>
      <w:color w:val="000000"/>
      <w:sz w:val="52"/>
      <w:szCs w:val="52"/>
    </w:rPr>
  </w:style>
  <w:style w:type="table" w:styleId="TableGrid">
    <w:name w:val="Table Grid"/>
    <w:basedOn w:val="TableNormal"/>
    <w:uiPriority w:val="59"/>
    <w:rsid w:val="00A4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113277"/>
    <w:rPr>
      <w:rFonts w:cs="Agfa Rotis Sans Serif"/>
      <w:b/>
      <w:bCs/>
      <w:color w:val="000000"/>
      <w:sz w:val="32"/>
      <w:szCs w:val="32"/>
    </w:rPr>
  </w:style>
  <w:style w:type="paragraph" w:customStyle="1" w:styleId="Pa0">
    <w:name w:val="Pa0"/>
    <w:basedOn w:val="Default"/>
    <w:next w:val="Default"/>
    <w:uiPriority w:val="99"/>
    <w:rsid w:val="00113277"/>
    <w:pPr>
      <w:spacing w:line="241" w:lineRule="atLeast"/>
    </w:pPr>
    <w:rPr>
      <w:rFonts w:cstheme="minorBidi"/>
      <w:color w:val="auto"/>
    </w:rPr>
  </w:style>
  <w:style w:type="character" w:customStyle="1" w:styleId="A2">
    <w:name w:val="A2"/>
    <w:uiPriority w:val="99"/>
    <w:rsid w:val="00113277"/>
    <w:rPr>
      <w:rFonts w:ascii="Frutiger 45 Light" w:hAnsi="Frutiger 45 Light" w:cs="Frutiger 45 Light"/>
      <w:color w:val="000000"/>
      <w:sz w:val="22"/>
      <w:szCs w:val="22"/>
    </w:rPr>
  </w:style>
  <w:style w:type="character" w:styleId="Hyperlink">
    <w:name w:val="Hyperlink"/>
    <w:basedOn w:val="DefaultParagraphFont"/>
    <w:uiPriority w:val="99"/>
    <w:unhideWhenUsed/>
    <w:rsid w:val="00E27CB5"/>
    <w:rPr>
      <w:color w:val="0000FF" w:themeColor="hyperlink"/>
      <w:u w:val="single"/>
    </w:rPr>
  </w:style>
  <w:style w:type="paragraph" w:customStyle="1" w:styleId="Pa2">
    <w:name w:val="Pa2"/>
    <w:basedOn w:val="Default"/>
    <w:next w:val="Default"/>
    <w:uiPriority w:val="99"/>
    <w:rsid w:val="008312AD"/>
    <w:pPr>
      <w:spacing w:line="241" w:lineRule="atLeast"/>
    </w:pPr>
    <w:rPr>
      <w:rFonts w:cstheme="minorBidi"/>
      <w:color w:val="auto"/>
    </w:rPr>
  </w:style>
  <w:style w:type="character" w:customStyle="1" w:styleId="A10">
    <w:name w:val="A10"/>
    <w:uiPriority w:val="99"/>
    <w:rsid w:val="008312AD"/>
    <w:rPr>
      <w:rFonts w:cs="Agfa Rotis Sans Serif"/>
      <w:b/>
      <w:bCs/>
      <w:color w:val="000000"/>
      <w:sz w:val="16"/>
      <w:szCs w:val="16"/>
    </w:rPr>
  </w:style>
  <w:style w:type="character" w:customStyle="1" w:styleId="A11">
    <w:name w:val="A11"/>
    <w:uiPriority w:val="99"/>
    <w:rsid w:val="008312AD"/>
    <w:rPr>
      <w:rFonts w:ascii="Playbill" w:hAnsi="Playbill" w:cs="Playbill"/>
      <w:color w:val="000000"/>
      <w:sz w:val="26"/>
      <w:szCs w:val="26"/>
    </w:rPr>
  </w:style>
  <w:style w:type="paragraph" w:customStyle="1" w:styleId="Pa4">
    <w:name w:val="Pa4"/>
    <w:basedOn w:val="Default"/>
    <w:next w:val="Default"/>
    <w:uiPriority w:val="99"/>
    <w:rsid w:val="008312AD"/>
    <w:pPr>
      <w:spacing w:line="241" w:lineRule="atLeast"/>
    </w:pPr>
    <w:rPr>
      <w:rFonts w:cstheme="minorBidi"/>
      <w:color w:val="auto"/>
    </w:rPr>
  </w:style>
  <w:style w:type="character" w:customStyle="1" w:styleId="A3">
    <w:name w:val="A3"/>
    <w:uiPriority w:val="99"/>
    <w:rsid w:val="00697096"/>
    <w:rPr>
      <w:rFonts w:cs="Agfa Rotis Sans Serif"/>
      <w:b/>
      <w:bCs/>
      <w:color w:val="000000"/>
      <w:sz w:val="32"/>
      <w:szCs w:val="32"/>
    </w:rPr>
  </w:style>
  <w:style w:type="character" w:customStyle="1" w:styleId="Heading1Char">
    <w:name w:val="Heading 1 Char"/>
    <w:aliases w:val="Title 1 - Green Char"/>
    <w:basedOn w:val="DefaultParagraphFont"/>
    <w:link w:val="Heading1"/>
    <w:uiPriority w:val="9"/>
    <w:rsid w:val="00E26AC8"/>
    <w:rPr>
      <w:rFonts w:eastAsiaTheme="majorEastAsia" w:cstheme="majorBidi"/>
      <w:b/>
      <w:color w:val="31808B"/>
      <w:sz w:val="32"/>
      <w:szCs w:val="32"/>
    </w:rPr>
  </w:style>
  <w:style w:type="character" w:customStyle="1" w:styleId="Heading2Char">
    <w:name w:val="Heading 2 Char"/>
    <w:basedOn w:val="DefaultParagraphFont"/>
    <w:link w:val="Heading2"/>
    <w:uiPriority w:val="9"/>
    <w:rsid w:val="009F1BE5"/>
    <w:rPr>
      <w:rFonts w:eastAsiaTheme="majorEastAsia" w:cstheme="majorBidi"/>
      <w:b/>
      <w:color w:val="808080"/>
      <w:szCs w:val="26"/>
    </w:rPr>
  </w:style>
  <w:style w:type="paragraph" w:styleId="ListParagraph">
    <w:name w:val="List Paragraph"/>
    <w:basedOn w:val="Normal"/>
    <w:uiPriority w:val="34"/>
    <w:qFormat/>
    <w:rsid w:val="00C35691"/>
    <w:pPr>
      <w:ind w:left="720"/>
      <w:contextualSpacing/>
    </w:pPr>
  </w:style>
  <w:style w:type="paragraph" w:styleId="TOCHeading">
    <w:name w:val="TOC Heading"/>
    <w:basedOn w:val="Heading1"/>
    <w:next w:val="Normal"/>
    <w:uiPriority w:val="39"/>
    <w:unhideWhenUsed/>
    <w:qFormat/>
    <w:rsid w:val="00490F75"/>
    <w:pPr>
      <w:numPr>
        <w:numId w:val="0"/>
      </w:numPr>
      <w:spacing w:line="259" w:lineRule="auto"/>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E26AC8"/>
    <w:pPr>
      <w:spacing w:after="100"/>
    </w:pPr>
    <w:rPr>
      <w:rFonts w:asciiTheme="minorHAnsi" w:hAnsiTheme="minorHAnsi"/>
      <w:b/>
      <w:color w:val="31808B"/>
      <w:sz w:val="24"/>
    </w:rPr>
  </w:style>
  <w:style w:type="paragraph" w:styleId="TOC2">
    <w:name w:val="toc 2"/>
    <w:basedOn w:val="Normal"/>
    <w:next w:val="Normal"/>
    <w:autoRedefine/>
    <w:uiPriority w:val="39"/>
    <w:unhideWhenUsed/>
    <w:rsid w:val="009F1BE5"/>
    <w:pPr>
      <w:tabs>
        <w:tab w:val="right" w:leader="dot" w:pos="9350"/>
      </w:tabs>
      <w:spacing w:after="100"/>
    </w:pPr>
    <w:rPr>
      <w:rFonts w:asciiTheme="minorHAnsi" w:hAnsiTheme="minorHAnsi"/>
      <w:b/>
      <w:color w:val="808080"/>
      <w:sz w:val="22"/>
    </w:rPr>
  </w:style>
  <w:style w:type="paragraph" w:styleId="FootnoteText">
    <w:name w:val="footnote text"/>
    <w:basedOn w:val="Normal"/>
    <w:link w:val="FootnoteTextChar"/>
    <w:uiPriority w:val="99"/>
    <w:semiHidden/>
    <w:unhideWhenUsed/>
    <w:rsid w:val="000A0C78"/>
    <w:pPr>
      <w:jc w:val="left"/>
    </w:pPr>
    <w:rPr>
      <w:rFonts w:asciiTheme="minorHAnsi" w:eastAsiaTheme="minorHAnsi" w:hAnsiTheme="minorHAnsi" w:cstheme="minorBidi"/>
      <w:color w:val="auto"/>
      <w:szCs w:val="20"/>
      <w:lang w:val="en-GB"/>
    </w:rPr>
  </w:style>
  <w:style w:type="character" w:customStyle="1" w:styleId="FootnoteTextChar">
    <w:name w:val="Footnote Text Char"/>
    <w:basedOn w:val="DefaultParagraphFont"/>
    <w:link w:val="FootnoteText"/>
    <w:uiPriority w:val="99"/>
    <w:semiHidden/>
    <w:rsid w:val="000A0C78"/>
    <w:rPr>
      <w:sz w:val="20"/>
      <w:szCs w:val="20"/>
      <w:lang w:val="en-GB"/>
    </w:rPr>
  </w:style>
  <w:style w:type="character" w:styleId="FootnoteReference">
    <w:name w:val="footnote reference"/>
    <w:basedOn w:val="DefaultParagraphFont"/>
    <w:uiPriority w:val="99"/>
    <w:semiHidden/>
    <w:unhideWhenUsed/>
    <w:rsid w:val="000A0C78"/>
    <w:rPr>
      <w:vertAlign w:val="superscript"/>
    </w:rPr>
  </w:style>
  <w:style w:type="character" w:customStyle="1" w:styleId="Heading4Char">
    <w:name w:val="Heading 4 Char"/>
    <w:basedOn w:val="DefaultParagraphFont"/>
    <w:link w:val="Heading4"/>
    <w:uiPriority w:val="9"/>
    <w:rsid w:val="000A0C78"/>
    <w:rPr>
      <w:rFonts w:asciiTheme="majorHAnsi" w:eastAsiaTheme="majorEastAsia" w:hAnsiTheme="majorHAnsi" w:cstheme="majorBidi"/>
      <w:b/>
      <w:bCs/>
      <w:i/>
      <w:iCs/>
      <w:color w:val="4F81BD" w:themeColor="accent1"/>
      <w:lang w:val="en-GB"/>
    </w:rPr>
  </w:style>
  <w:style w:type="character" w:styleId="Emphasis">
    <w:name w:val="Emphasis"/>
    <w:basedOn w:val="DefaultParagraphFont"/>
    <w:uiPriority w:val="20"/>
    <w:qFormat/>
    <w:rsid w:val="00B937D0"/>
    <w:rPr>
      <w:i/>
      <w:iCs/>
    </w:rPr>
  </w:style>
  <w:style w:type="paragraph" w:customStyle="1" w:styleId="BodytextAgency">
    <w:name w:val="Body text (Agency)"/>
    <w:basedOn w:val="Normal"/>
    <w:link w:val="BodytextAgencyChar"/>
    <w:rsid w:val="00244529"/>
    <w:pPr>
      <w:spacing w:after="140" w:line="280" w:lineRule="atLeast"/>
      <w:jc w:val="left"/>
    </w:pPr>
    <w:rPr>
      <w:rFonts w:ascii="Verdana" w:eastAsia="Verdana" w:hAnsi="Verdana" w:cs="Verdana"/>
      <w:color w:val="auto"/>
      <w:sz w:val="18"/>
      <w:szCs w:val="18"/>
      <w:lang w:val="en-GB" w:eastAsia="en-GB"/>
    </w:rPr>
  </w:style>
  <w:style w:type="paragraph" w:customStyle="1" w:styleId="Heading3Agency">
    <w:name w:val="Heading 3 (Agency)"/>
    <w:basedOn w:val="Normal"/>
    <w:next w:val="BodytextAgency"/>
    <w:rsid w:val="00244529"/>
    <w:pPr>
      <w:keepNext/>
      <w:numPr>
        <w:ilvl w:val="2"/>
        <w:numId w:val="22"/>
      </w:numPr>
      <w:spacing w:before="280" w:after="220"/>
      <w:jc w:val="left"/>
      <w:outlineLvl w:val="2"/>
    </w:pPr>
    <w:rPr>
      <w:rFonts w:ascii="Verdana" w:eastAsia="Verdana" w:hAnsi="Verdana" w:cs="Arial"/>
      <w:b/>
      <w:bCs/>
      <w:color w:val="auto"/>
      <w:kern w:val="32"/>
      <w:sz w:val="22"/>
      <w:szCs w:val="22"/>
      <w:lang w:val="en-GB" w:eastAsia="en-GB"/>
    </w:rPr>
  </w:style>
  <w:style w:type="paragraph" w:customStyle="1" w:styleId="Heading4Agency">
    <w:name w:val="Heading 4 (Agency)"/>
    <w:basedOn w:val="Heading3Agency"/>
    <w:next w:val="BodytextAgency"/>
    <w:semiHidden/>
    <w:rsid w:val="00244529"/>
    <w:pPr>
      <w:numPr>
        <w:ilvl w:val="3"/>
      </w:numPr>
      <w:outlineLvl w:val="3"/>
    </w:pPr>
    <w:rPr>
      <w:i/>
      <w:sz w:val="18"/>
      <w:szCs w:val="18"/>
    </w:rPr>
  </w:style>
  <w:style w:type="paragraph" w:customStyle="1" w:styleId="Heading5Agency">
    <w:name w:val="Heading 5 (Agency)"/>
    <w:basedOn w:val="Heading4Agency"/>
    <w:next w:val="BodytextAgency"/>
    <w:semiHidden/>
    <w:rsid w:val="00244529"/>
    <w:pPr>
      <w:numPr>
        <w:ilvl w:val="4"/>
      </w:numPr>
      <w:outlineLvl w:val="4"/>
    </w:pPr>
    <w:rPr>
      <w:i w:val="0"/>
    </w:rPr>
  </w:style>
  <w:style w:type="character" w:styleId="PageNumber">
    <w:name w:val="page number"/>
    <w:basedOn w:val="DefaultParagraphFont"/>
    <w:semiHidden/>
    <w:rsid w:val="00244529"/>
  </w:style>
  <w:style w:type="paragraph" w:customStyle="1" w:styleId="FooterAgency">
    <w:name w:val="Footer (Agency)"/>
    <w:basedOn w:val="Normal"/>
    <w:semiHidden/>
    <w:rsid w:val="00244529"/>
    <w:pPr>
      <w:jc w:val="left"/>
    </w:pPr>
    <w:rPr>
      <w:rFonts w:ascii="Verdana" w:eastAsia="Verdana" w:hAnsi="Verdana" w:cs="Verdana"/>
      <w:color w:val="6D6F71"/>
      <w:sz w:val="14"/>
      <w:szCs w:val="14"/>
      <w:lang w:val="en-GB" w:eastAsia="en-GB"/>
    </w:rPr>
  </w:style>
  <w:style w:type="paragraph" w:customStyle="1" w:styleId="FooterblueAgency">
    <w:name w:val="Footer blue (Agency)"/>
    <w:basedOn w:val="Normal"/>
    <w:semiHidden/>
    <w:rsid w:val="00244529"/>
    <w:pPr>
      <w:jc w:val="left"/>
    </w:pPr>
    <w:rPr>
      <w:rFonts w:ascii="Verdana" w:eastAsia="Verdana" w:hAnsi="Verdana" w:cs="Verdana"/>
      <w:b/>
      <w:color w:val="003399"/>
      <w:sz w:val="13"/>
      <w:szCs w:val="14"/>
      <w:lang w:val="en-GB" w:eastAsia="en-GB"/>
    </w:rPr>
  </w:style>
  <w:style w:type="paragraph" w:customStyle="1" w:styleId="PagenumberAgency">
    <w:name w:val="Page number (Agency)"/>
    <w:basedOn w:val="Normal"/>
    <w:next w:val="Normal"/>
    <w:semiHidden/>
    <w:rsid w:val="00244529"/>
    <w:pPr>
      <w:tabs>
        <w:tab w:val="right" w:pos="9781"/>
      </w:tabs>
      <w:jc w:val="right"/>
    </w:pPr>
    <w:rPr>
      <w:rFonts w:ascii="Verdana" w:eastAsia="Verdana" w:hAnsi="Verdana" w:cs="Verdana"/>
      <w:color w:val="6D6F71"/>
      <w:sz w:val="14"/>
      <w:szCs w:val="14"/>
      <w:lang w:val="en-GB" w:eastAsia="en-GB"/>
    </w:rPr>
  </w:style>
  <w:style w:type="character" w:customStyle="1" w:styleId="FooterblueAgencyCharChar">
    <w:name w:val="Footer blue (Agency) Char Char"/>
    <w:semiHidden/>
    <w:rsid w:val="00244529"/>
    <w:rPr>
      <w:rFonts w:ascii="Verdana" w:eastAsia="Verdana" w:hAnsi="Verdana" w:cs="Verdana"/>
      <w:b/>
      <w:color w:val="003399"/>
      <w:sz w:val="13"/>
      <w:szCs w:val="14"/>
      <w:lang w:val="en-GB" w:eastAsia="en-GB" w:bidi="ar-SA"/>
    </w:rPr>
  </w:style>
  <w:style w:type="paragraph" w:customStyle="1" w:styleId="DoctitleAgency">
    <w:name w:val="Doc title (Agency)"/>
    <w:basedOn w:val="Normal"/>
    <w:next w:val="Normal"/>
    <w:rsid w:val="00244529"/>
    <w:pPr>
      <w:spacing w:before="720" w:line="360" w:lineRule="atLeast"/>
      <w:jc w:val="left"/>
    </w:pPr>
    <w:rPr>
      <w:rFonts w:ascii="Verdana" w:eastAsia="Verdana" w:hAnsi="Verdana" w:cs="Verdana"/>
      <w:color w:val="003399"/>
      <w:sz w:val="32"/>
      <w:szCs w:val="32"/>
      <w:lang w:val="en-GB" w:eastAsia="en-GB"/>
    </w:rPr>
  </w:style>
  <w:style w:type="paragraph" w:customStyle="1" w:styleId="Heading1Agency">
    <w:name w:val="Heading 1 (Agency)"/>
    <w:basedOn w:val="Normal"/>
    <w:next w:val="BodytextAgency"/>
    <w:rsid w:val="00244529"/>
    <w:pPr>
      <w:keepNext/>
      <w:numPr>
        <w:numId w:val="22"/>
      </w:numPr>
      <w:spacing w:before="280" w:after="220"/>
      <w:jc w:val="left"/>
      <w:outlineLvl w:val="0"/>
    </w:pPr>
    <w:rPr>
      <w:rFonts w:ascii="Verdana" w:eastAsia="Verdana" w:hAnsi="Verdana" w:cs="Arial"/>
      <w:b/>
      <w:bCs/>
      <w:color w:val="auto"/>
      <w:kern w:val="32"/>
      <w:sz w:val="27"/>
      <w:szCs w:val="27"/>
      <w:lang w:val="en-GB" w:eastAsia="en-GB"/>
    </w:rPr>
  </w:style>
  <w:style w:type="paragraph" w:customStyle="1" w:styleId="Heading2Agency">
    <w:name w:val="Heading 2 (Agency)"/>
    <w:basedOn w:val="Normal"/>
    <w:next w:val="BodytextAgency"/>
    <w:rsid w:val="00244529"/>
    <w:pPr>
      <w:keepNext/>
      <w:numPr>
        <w:ilvl w:val="1"/>
        <w:numId w:val="22"/>
      </w:numPr>
      <w:spacing w:before="280" w:after="220"/>
      <w:jc w:val="left"/>
      <w:outlineLvl w:val="1"/>
    </w:pPr>
    <w:rPr>
      <w:rFonts w:ascii="Verdana" w:eastAsia="Verdana" w:hAnsi="Verdana" w:cs="Arial"/>
      <w:b/>
      <w:bCs/>
      <w:i/>
      <w:color w:val="auto"/>
      <w:kern w:val="32"/>
      <w:sz w:val="22"/>
      <w:szCs w:val="22"/>
      <w:lang w:val="en-GB" w:eastAsia="en-GB"/>
    </w:rPr>
  </w:style>
  <w:style w:type="paragraph" w:customStyle="1" w:styleId="Heading6Agency">
    <w:name w:val="Heading 6 (Agency)"/>
    <w:basedOn w:val="Heading5Agency"/>
    <w:next w:val="BodytextAgency"/>
    <w:semiHidden/>
    <w:rsid w:val="00244529"/>
    <w:pPr>
      <w:numPr>
        <w:ilvl w:val="5"/>
      </w:numPr>
      <w:outlineLvl w:val="5"/>
    </w:pPr>
  </w:style>
  <w:style w:type="paragraph" w:customStyle="1" w:styleId="Heading7Agency">
    <w:name w:val="Heading 7 (Agency)"/>
    <w:basedOn w:val="Heading6Agency"/>
    <w:next w:val="BodytextAgency"/>
    <w:semiHidden/>
    <w:rsid w:val="00244529"/>
    <w:pPr>
      <w:numPr>
        <w:ilvl w:val="6"/>
      </w:numPr>
      <w:outlineLvl w:val="6"/>
    </w:pPr>
  </w:style>
  <w:style w:type="paragraph" w:customStyle="1" w:styleId="Heading8Agency">
    <w:name w:val="Heading 8 (Agency)"/>
    <w:basedOn w:val="Heading7Agency"/>
    <w:next w:val="BodytextAgency"/>
    <w:semiHidden/>
    <w:rsid w:val="00244529"/>
    <w:pPr>
      <w:numPr>
        <w:ilvl w:val="7"/>
      </w:numPr>
      <w:outlineLvl w:val="7"/>
    </w:pPr>
  </w:style>
  <w:style w:type="paragraph" w:customStyle="1" w:styleId="Heading9Agency">
    <w:name w:val="Heading 9 (Agency)"/>
    <w:basedOn w:val="Heading8Agency"/>
    <w:next w:val="BodytextAgency"/>
    <w:semiHidden/>
    <w:rsid w:val="00244529"/>
    <w:pPr>
      <w:numPr>
        <w:ilvl w:val="8"/>
      </w:numPr>
      <w:outlineLvl w:val="8"/>
    </w:pPr>
  </w:style>
  <w:style w:type="paragraph" w:customStyle="1" w:styleId="No-TOCheadingAgency">
    <w:name w:val="No-TOC heading (Agency)"/>
    <w:basedOn w:val="Normal"/>
    <w:next w:val="Normal"/>
    <w:rsid w:val="00244529"/>
    <w:pPr>
      <w:keepNext/>
      <w:spacing w:before="280" w:after="220"/>
      <w:jc w:val="left"/>
    </w:pPr>
    <w:rPr>
      <w:rFonts w:ascii="Verdana" w:hAnsi="Verdana" w:cs="Arial"/>
      <w:b/>
      <w:color w:val="auto"/>
      <w:kern w:val="32"/>
      <w:sz w:val="27"/>
      <w:szCs w:val="27"/>
      <w:lang w:val="en-GB" w:eastAsia="en-GB"/>
    </w:rPr>
  </w:style>
  <w:style w:type="paragraph" w:customStyle="1" w:styleId="TableheadingrowsAgency">
    <w:name w:val="Table heading rows (Agency)"/>
    <w:basedOn w:val="BodytextAgency"/>
    <w:semiHidden/>
    <w:rsid w:val="00244529"/>
    <w:pPr>
      <w:keepNext/>
    </w:pPr>
    <w:rPr>
      <w:rFonts w:eastAsia="Times New Roman"/>
      <w:b/>
    </w:rPr>
  </w:style>
  <w:style w:type="paragraph" w:customStyle="1" w:styleId="TabletextrowsAgency">
    <w:name w:val="Table text rows (Agency)"/>
    <w:basedOn w:val="Normal"/>
    <w:uiPriority w:val="99"/>
    <w:rsid w:val="00244529"/>
    <w:pPr>
      <w:spacing w:line="280" w:lineRule="exact"/>
      <w:jc w:val="left"/>
    </w:pPr>
    <w:rPr>
      <w:rFonts w:ascii="Verdana" w:hAnsi="Verdana" w:cs="Verdana"/>
      <w:color w:val="auto"/>
      <w:sz w:val="18"/>
      <w:szCs w:val="18"/>
      <w:lang w:val="en-GB" w:eastAsia="zh-CN"/>
    </w:rPr>
  </w:style>
  <w:style w:type="paragraph" w:customStyle="1" w:styleId="TableFigurenoteAgency">
    <w:name w:val="Table/Figure note (Agency)"/>
    <w:basedOn w:val="BodytextAgency"/>
    <w:next w:val="BodytextAgency"/>
    <w:rsid w:val="0010436A"/>
    <w:pPr>
      <w:spacing w:before="60" w:after="240" w:line="240" w:lineRule="auto"/>
    </w:pPr>
    <w:rPr>
      <w:sz w:val="16"/>
      <w:szCs w:val="16"/>
    </w:rPr>
  </w:style>
  <w:style w:type="character" w:customStyle="1" w:styleId="BodytextAgencyChar">
    <w:name w:val="Body text (Agency) Char"/>
    <w:link w:val="BodytextAgency"/>
    <w:rsid w:val="0010436A"/>
    <w:rPr>
      <w:rFonts w:ascii="Verdana" w:eastAsia="Verdana" w:hAnsi="Verdana" w:cs="Verdana"/>
      <w:sz w:val="18"/>
      <w:szCs w:val="18"/>
      <w:lang w:val="en-GB" w:eastAsia="en-GB"/>
    </w:rPr>
  </w:style>
  <w:style w:type="paragraph" w:customStyle="1" w:styleId="NormalAgency">
    <w:name w:val="Normal (Agency)"/>
    <w:rsid w:val="003B0925"/>
    <w:pPr>
      <w:spacing w:after="0" w:line="240" w:lineRule="auto"/>
    </w:pPr>
    <w:rPr>
      <w:rFonts w:ascii="Verdana" w:eastAsia="Verdana" w:hAnsi="Verdana" w:cs="Verdana"/>
      <w:sz w:val="18"/>
      <w:szCs w:val="18"/>
      <w:lang w:val="en-GB" w:eastAsia="en-GB"/>
    </w:rPr>
  </w:style>
  <w:style w:type="paragraph" w:styleId="Revision">
    <w:name w:val="Revision"/>
    <w:hidden/>
    <w:uiPriority w:val="99"/>
    <w:semiHidden/>
    <w:rsid w:val="00580FEA"/>
    <w:pPr>
      <w:spacing w:after="0" w:line="240" w:lineRule="auto"/>
    </w:pPr>
    <w:rPr>
      <w:rFonts w:ascii="Arial" w:eastAsia="Times New Roman" w:hAnsi="Arial" w:cs="Times New Roman"/>
      <w:color w:val="000000"/>
      <w:sz w:val="20"/>
      <w:szCs w:val="24"/>
    </w:rPr>
  </w:style>
  <w:style w:type="character" w:styleId="CommentReference">
    <w:name w:val="annotation reference"/>
    <w:basedOn w:val="DefaultParagraphFont"/>
    <w:uiPriority w:val="99"/>
    <w:semiHidden/>
    <w:unhideWhenUsed/>
    <w:rsid w:val="00F325A4"/>
    <w:rPr>
      <w:sz w:val="16"/>
      <w:szCs w:val="16"/>
    </w:rPr>
  </w:style>
  <w:style w:type="paragraph" w:styleId="CommentText">
    <w:name w:val="annotation text"/>
    <w:basedOn w:val="Normal"/>
    <w:link w:val="CommentTextChar"/>
    <w:uiPriority w:val="99"/>
    <w:semiHidden/>
    <w:unhideWhenUsed/>
    <w:rsid w:val="00F325A4"/>
    <w:rPr>
      <w:szCs w:val="20"/>
    </w:rPr>
  </w:style>
  <w:style w:type="character" w:customStyle="1" w:styleId="CommentTextChar">
    <w:name w:val="Comment Text Char"/>
    <w:basedOn w:val="DefaultParagraphFont"/>
    <w:link w:val="CommentText"/>
    <w:uiPriority w:val="99"/>
    <w:semiHidden/>
    <w:rsid w:val="00F325A4"/>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325A4"/>
    <w:rPr>
      <w:b/>
      <w:bCs/>
    </w:rPr>
  </w:style>
  <w:style w:type="character" w:customStyle="1" w:styleId="CommentSubjectChar">
    <w:name w:val="Comment Subject Char"/>
    <w:basedOn w:val="CommentTextChar"/>
    <w:link w:val="CommentSubject"/>
    <w:uiPriority w:val="99"/>
    <w:semiHidden/>
    <w:rsid w:val="00F325A4"/>
    <w:rPr>
      <w:rFonts w:ascii="Arial" w:eastAsia="Times New Roman" w:hAnsi="Arial"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5627">
      <w:bodyDiv w:val="1"/>
      <w:marLeft w:val="0"/>
      <w:marRight w:val="0"/>
      <w:marTop w:val="0"/>
      <w:marBottom w:val="0"/>
      <w:divBdr>
        <w:top w:val="none" w:sz="0" w:space="0" w:color="auto"/>
        <w:left w:val="none" w:sz="0" w:space="0" w:color="auto"/>
        <w:bottom w:val="none" w:sz="0" w:space="0" w:color="auto"/>
        <w:right w:val="none" w:sz="0" w:space="0" w:color="auto"/>
      </w:divBdr>
    </w:div>
    <w:div w:id="259874170">
      <w:bodyDiv w:val="1"/>
      <w:marLeft w:val="0"/>
      <w:marRight w:val="0"/>
      <w:marTop w:val="0"/>
      <w:marBottom w:val="0"/>
      <w:divBdr>
        <w:top w:val="none" w:sz="0" w:space="0" w:color="auto"/>
        <w:left w:val="none" w:sz="0" w:space="0" w:color="auto"/>
        <w:bottom w:val="none" w:sz="0" w:space="0" w:color="auto"/>
        <w:right w:val="none" w:sz="0" w:space="0" w:color="auto"/>
      </w:divBdr>
    </w:div>
    <w:div w:id="485630378">
      <w:bodyDiv w:val="1"/>
      <w:marLeft w:val="0"/>
      <w:marRight w:val="0"/>
      <w:marTop w:val="0"/>
      <w:marBottom w:val="0"/>
      <w:divBdr>
        <w:top w:val="none" w:sz="0" w:space="0" w:color="auto"/>
        <w:left w:val="none" w:sz="0" w:space="0" w:color="auto"/>
        <w:bottom w:val="none" w:sz="0" w:space="0" w:color="auto"/>
        <w:right w:val="none" w:sz="0" w:space="0" w:color="auto"/>
      </w:divBdr>
    </w:div>
    <w:div w:id="634796944">
      <w:bodyDiv w:val="1"/>
      <w:marLeft w:val="0"/>
      <w:marRight w:val="0"/>
      <w:marTop w:val="0"/>
      <w:marBottom w:val="0"/>
      <w:divBdr>
        <w:top w:val="none" w:sz="0" w:space="0" w:color="auto"/>
        <w:left w:val="none" w:sz="0" w:space="0" w:color="auto"/>
        <w:bottom w:val="none" w:sz="0" w:space="0" w:color="auto"/>
        <w:right w:val="none" w:sz="0" w:space="0" w:color="auto"/>
      </w:divBdr>
    </w:div>
    <w:div w:id="817378017">
      <w:bodyDiv w:val="1"/>
      <w:marLeft w:val="0"/>
      <w:marRight w:val="0"/>
      <w:marTop w:val="0"/>
      <w:marBottom w:val="0"/>
      <w:divBdr>
        <w:top w:val="none" w:sz="0" w:space="0" w:color="auto"/>
        <w:left w:val="none" w:sz="0" w:space="0" w:color="auto"/>
        <w:bottom w:val="none" w:sz="0" w:space="0" w:color="auto"/>
        <w:right w:val="none" w:sz="0" w:space="0" w:color="auto"/>
      </w:divBdr>
    </w:div>
    <w:div w:id="960039691">
      <w:bodyDiv w:val="1"/>
      <w:marLeft w:val="0"/>
      <w:marRight w:val="0"/>
      <w:marTop w:val="0"/>
      <w:marBottom w:val="0"/>
      <w:divBdr>
        <w:top w:val="none" w:sz="0" w:space="0" w:color="auto"/>
        <w:left w:val="none" w:sz="0" w:space="0" w:color="auto"/>
        <w:bottom w:val="none" w:sz="0" w:space="0" w:color="auto"/>
        <w:right w:val="none" w:sz="0" w:space="0" w:color="auto"/>
      </w:divBdr>
    </w:div>
    <w:div w:id="14017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0.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9.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2.png"/><Relationship Id="rId5" Type="http://schemas.openxmlformats.org/officeDocument/2006/relationships/image" Target="media/image15.png"/><Relationship Id="rId4"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F0A3E607111479911D9376B7F6EDC" ma:contentTypeVersion="7" ma:contentTypeDescription="Create a new document." ma:contentTypeScope="" ma:versionID="d27f05d49abfff288bab241626e9227e">
  <xsd:schema xmlns:xsd="http://www.w3.org/2001/XMLSchema" xmlns:xs="http://www.w3.org/2001/XMLSchema" xmlns:p="http://schemas.microsoft.com/office/2006/metadata/properties" xmlns:ns3="64f49403-3545-4825-bfb1-99a9d7b9cf8d" targetNamespace="http://schemas.microsoft.com/office/2006/metadata/properties" ma:root="true" ma:fieldsID="06895ded8addcdd7ad7193ab0033b831" ns3:_="">
    <xsd:import namespace="64f49403-3545-4825-bfb1-99a9d7b9cf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49403-3545-4825-bfb1-99a9d7b9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D10B9-F4E9-464E-911F-F59FA5690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49403-3545-4825-bfb1-99a9d7b9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65E53-C779-49CF-9940-1DBE09642C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748A57-1185-4AC3-BE67-2945C83E4037}">
  <ds:schemaRefs>
    <ds:schemaRef ds:uri="http://schemas.microsoft.com/sharepoint/v3/contenttype/forms"/>
  </ds:schemaRefs>
</ds:datastoreItem>
</file>

<file path=customXml/itemProps4.xml><?xml version="1.0" encoding="utf-8"?>
<ds:datastoreItem xmlns:ds="http://schemas.openxmlformats.org/officeDocument/2006/customXml" ds:itemID="{83633239-B337-1342-8EAA-8F16182F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1950</Words>
  <Characters>11118</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IT-Services</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Ioana Enache</dc:creator>
  <cp:lastModifiedBy>Microsoft Office User</cp:lastModifiedBy>
  <cp:revision>2</cp:revision>
  <cp:lastPrinted>2019-10-14T06:03:00Z</cp:lastPrinted>
  <dcterms:created xsi:type="dcterms:W3CDTF">2019-10-17T07:12:00Z</dcterms:created>
  <dcterms:modified xsi:type="dcterms:W3CDTF">2019-10-17T07:12:00Z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0x010100512F0A3E607111479911D9376B7F6EDC</vt:lpwstr>
  </property>
  <property fmtid="{D5CDD505-2E9C-101B-9397-08002B2CF9AE}" pid="4" name="MSIP_Label_4929bff8-5b33-42aa-95d2-28f72e792cb0_Enabled">
    <vt:lpwstr>True</vt:lpwstr>
  </property>
  <property fmtid="{D5CDD505-2E9C-101B-9397-08002B2CF9AE}" pid="5" name="MSIP_Label_4929bff8-5b33-42aa-95d2-28f72e792cb0_SiteId">
    <vt:lpwstr>f35a6974-607f-47d4-82d7-ff31d7dc53a5</vt:lpwstr>
  </property>
  <property fmtid="{D5CDD505-2E9C-101B-9397-08002B2CF9AE}" pid="6" name="MSIP_Label_4929bff8-5b33-42aa-95d2-28f72e792cb0_Owner">
    <vt:lpwstr>LEVISGE1@novartis.net</vt:lpwstr>
  </property>
  <property fmtid="{D5CDD505-2E9C-101B-9397-08002B2CF9AE}" pid="7" name="MSIP_Label_4929bff8-5b33-42aa-95d2-28f72e792cb0_SetDate">
    <vt:lpwstr>2019-10-09T14:57:28.7481099Z</vt:lpwstr>
  </property>
  <property fmtid="{D5CDD505-2E9C-101B-9397-08002B2CF9AE}" pid="8" name="MSIP_Label_4929bff8-5b33-42aa-95d2-28f72e792cb0_Name">
    <vt:lpwstr>Business Use Only</vt:lpwstr>
  </property>
  <property fmtid="{D5CDD505-2E9C-101B-9397-08002B2CF9AE}" pid="9" name="MSIP_Label_4929bff8-5b33-42aa-95d2-28f72e792cb0_Application">
    <vt:lpwstr>Microsoft Azure Information Protection</vt:lpwstr>
  </property>
  <property fmtid="{D5CDD505-2E9C-101B-9397-08002B2CF9AE}" pid="10" name="MSIP_Label_4929bff8-5b33-42aa-95d2-28f72e792cb0_ActionId">
    <vt:lpwstr>20088b08-6e23-466d-94c0-bd4b058a5259</vt:lpwstr>
  </property>
  <property fmtid="{D5CDD505-2E9C-101B-9397-08002B2CF9AE}" pid="11" name="MSIP_Label_4929bff8-5b33-42aa-95d2-28f72e792cb0_Extended_MSFT_Method">
    <vt:lpwstr>Automatic</vt:lpwstr>
  </property>
  <property fmtid="{D5CDD505-2E9C-101B-9397-08002B2CF9AE}" pid="12" name="Confidentiality">
    <vt:lpwstr>Business Use Only</vt:lpwstr>
  </property>
</Properties>
</file>